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CCE0A">
      <w:pPr>
        <w:keepNext w:val="0"/>
        <w:keepLines w:val="0"/>
        <w:pageBreakBefore w:val="0"/>
        <w:widowControl/>
        <w:kinsoku/>
        <w:wordWrap/>
        <w:overflowPunct/>
        <w:topLinePunct w:val="0"/>
        <w:autoSpaceDE/>
        <w:autoSpaceDN/>
        <w:bidi w:val="0"/>
        <w:adjustRightInd w:val="0"/>
        <w:snapToGrid w:val="0"/>
        <w:spacing w:line="240" w:lineRule="auto"/>
        <w:jc w:val="both"/>
        <w:textAlignment w:val="center"/>
        <w:rPr>
          <w:rFonts w:hint="default" w:ascii="方正黑体_GBK" w:hAnsi="方正黑体_GBK" w:eastAsia="方正黑体_GBK" w:cs="方正黑体_GBK"/>
          <w:b w:val="0"/>
          <w:bCs/>
          <w:color w:val="000000" w:themeColor="text1"/>
          <w:kern w:val="0"/>
          <w:sz w:val="32"/>
          <w:szCs w:val="32"/>
          <w:lang w:val="en-US" w:eastAsia="zh-CN"/>
          <w14:textFill>
            <w14:solidFill>
              <w14:schemeClr w14:val="tx1"/>
            </w14:solidFill>
          </w14:textFill>
        </w:rPr>
      </w:pPr>
    </w:p>
    <w:p w14:paraId="2C8697C1">
      <w:pPr>
        <w:keepNext w:val="0"/>
        <w:keepLines w:val="0"/>
        <w:pageBreakBefore w:val="0"/>
        <w:widowControl/>
        <w:kinsoku/>
        <w:wordWrap/>
        <w:overflowPunct/>
        <w:topLinePunct w:val="0"/>
        <w:autoSpaceDE/>
        <w:autoSpaceDN/>
        <w:bidi w:val="0"/>
        <w:adjustRightInd/>
        <w:snapToGrid/>
        <w:spacing w:line="800" w:lineRule="exact"/>
        <w:jc w:val="center"/>
        <w:textAlignment w:val="center"/>
        <w:rPr>
          <w:rFonts w:hint="eastAsia" w:ascii="宋体" w:hAnsi="宋体" w:eastAsia="宋体" w:cs="宋体"/>
          <w:b/>
          <w:bCs w:val="0"/>
          <w:color w:val="000000" w:themeColor="text1"/>
          <w:kern w:val="0"/>
          <w:sz w:val="44"/>
          <w:szCs w:val="44"/>
          <w:lang w:eastAsia="zh-CN"/>
          <w14:textFill>
            <w14:solidFill>
              <w14:schemeClr w14:val="tx1"/>
            </w14:solidFill>
          </w14:textFill>
        </w:rPr>
      </w:pPr>
      <w:r>
        <w:rPr>
          <w:rFonts w:hint="eastAsia" w:ascii="宋体" w:hAnsi="宋体" w:cs="宋体"/>
          <w:b/>
          <w:bCs w:val="0"/>
          <w:color w:val="000000" w:themeColor="text1"/>
          <w:kern w:val="0"/>
          <w:sz w:val="44"/>
          <w:szCs w:val="44"/>
          <w:lang w:val="en-US" w:eastAsia="zh-CN"/>
          <w14:textFill>
            <w14:solidFill>
              <w14:schemeClr w14:val="tx1"/>
            </w14:solidFill>
          </w14:textFill>
        </w:rPr>
        <w:t>怀化市</w:t>
      </w:r>
      <w:r>
        <w:rPr>
          <w:rFonts w:hint="eastAsia" w:ascii="宋体" w:hAnsi="宋体" w:eastAsia="宋体" w:cs="宋体"/>
          <w:b/>
          <w:bCs w:val="0"/>
          <w:color w:val="000000" w:themeColor="text1"/>
          <w:kern w:val="0"/>
          <w:sz w:val="44"/>
          <w:szCs w:val="44"/>
          <w:lang w:eastAsia="zh-CN"/>
          <w14:textFill>
            <w14:solidFill>
              <w14:schemeClr w14:val="tx1"/>
            </w14:solidFill>
          </w14:textFill>
        </w:rPr>
        <w:t>生态环境</w:t>
      </w:r>
      <w:r>
        <w:rPr>
          <w:rFonts w:hint="eastAsia" w:ascii="宋体" w:hAnsi="宋体" w:cs="宋体"/>
          <w:b/>
          <w:bCs w:val="0"/>
          <w:color w:val="000000" w:themeColor="text1"/>
          <w:kern w:val="0"/>
          <w:sz w:val="44"/>
          <w:szCs w:val="44"/>
          <w:lang w:val="en-US" w:eastAsia="zh-CN"/>
          <w14:textFill>
            <w14:solidFill>
              <w14:schemeClr w14:val="tx1"/>
            </w14:solidFill>
          </w14:textFill>
        </w:rPr>
        <w:t>局麻阳分局</w:t>
      </w:r>
      <w:r>
        <w:rPr>
          <w:rFonts w:hint="eastAsia" w:ascii="宋体" w:hAnsi="宋体" w:eastAsia="宋体" w:cs="宋体"/>
          <w:b/>
          <w:bCs w:val="0"/>
          <w:color w:val="000000" w:themeColor="text1"/>
          <w:kern w:val="0"/>
          <w:sz w:val="44"/>
          <w:szCs w:val="44"/>
          <w:lang w:eastAsia="zh-CN"/>
          <w14:textFill>
            <w14:solidFill>
              <w14:schemeClr w14:val="tx1"/>
            </w14:solidFill>
          </w14:textFill>
        </w:rPr>
        <w:t>涉企行政检查事项清单</w:t>
      </w:r>
      <w:r>
        <w:rPr>
          <w:rFonts w:hint="eastAsia" w:ascii="宋体" w:hAnsi="宋体" w:cs="宋体"/>
          <w:b/>
          <w:bCs w:val="0"/>
          <w:color w:val="000000" w:themeColor="text1"/>
          <w:kern w:val="0"/>
          <w:sz w:val="44"/>
          <w:szCs w:val="44"/>
          <w:lang w:eastAsia="zh-CN"/>
          <w14:textFill>
            <w14:solidFill>
              <w14:schemeClr w14:val="tx1"/>
            </w14:solidFill>
          </w14:textFill>
        </w:rPr>
        <w:t>（</w:t>
      </w:r>
      <w:r>
        <w:rPr>
          <w:rFonts w:hint="eastAsia" w:ascii="宋体" w:hAnsi="宋体" w:cs="宋体"/>
          <w:b/>
          <w:bCs w:val="0"/>
          <w:color w:val="000000" w:themeColor="text1"/>
          <w:kern w:val="0"/>
          <w:sz w:val="44"/>
          <w:szCs w:val="44"/>
          <w:lang w:val="en-US" w:eastAsia="zh-CN"/>
          <w14:textFill>
            <w14:solidFill>
              <w14:schemeClr w14:val="tx1"/>
            </w14:solidFill>
          </w14:textFill>
        </w:rPr>
        <w:t>2025版</w:t>
      </w:r>
      <w:r>
        <w:rPr>
          <w:rFonts w:hint="eastAsia" w:ascii="宋体" w:hAnsi="宋体" w:cs="宋体"/>
          <w:b/>
          <w:bCs w:val="0"/>
          <w:color w:val="000000" w:themeColor="text1"/>
          <w:kern w:val="0"/>
          <w:sz w:val="44"/>
          <w:szCs w:val="44"/>
          <w:lang w:eastAsia="zh-CN"/>
          <w14:textFill>
            <w14:solidFill>
              <w14:schemeClr w14:val="tx1"/>
            </w14:solidFill>
          </w14:textFill>
        </w:rPr>
        <w:t>）</w:t>
      </w:r>
    </w:p>
    <w:tbl>
      <w:tblPr>
        <w:tblStyle w:val="8"/>
        <w:tblW w:w="15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723"/>
        <w:gridCol w:w="4009"/>
        <w:gridCol w:w="1573"/>
        <w:gridCol w:w="1599"/>
        <w:gridCol w:w="1246"/>
        <w:gridCol w:w="1370"/>
        <w:gridCol w:w="898"/>
        <w:gridCol w:w="1386"/>
        <w:gridCol w:w="1406"/>
      </w:tblGrid>
      <w:tr w14:paraId="58FF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88" w:type="dxa"/>
            <w:noWrap w:val="0"/>
            <w:vAlign w:val="center"/>
          </w:tcPr>
          <w:p w14:paraId="77E742A7">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sz w:val="24"/>
                <w:szCs w:val="24"/>
                <w:highlight w:val="none"/>
                <w:vertAlign w:val="baseline"/>
                <w14:textFill>
                  <w14:solidFill>
                    <w14:schemeClr w14:val="tx1"/>
                  </w14:solidFill>
                </w14:textFill>
              </w:rPr>
            </w:pPr>
            <w:r>
              <w:rPr>
                <w:rFonts w:hint="eastAsia" w:ascii="仿宋" w:hAnsi="仿宋" w:eastAsia="仿宋" w:cs="仿宋"/>
                <w:b/>
                <w:bCs w:val="0"/>
                <w:color w:val="000000" w:themeColor="text1"/>
                <w:kern w:val="0"/>
                <w:sz w:val="24"/>
                <w:szCs w:val="24"/>
                <w:highlight w:val="none"/>
                <w14:textFill>
                  <w14:solidFill>
                    <w14:schemeClr w14:val="tx1"/>
                  </w14:solidFill>
                </w14:textFill>
              </w:rPr>
              <w:t>序号</w:t>
            </w:r>
          </w:p>
        </w:tc>
        <w:tc>
          <w:tcPr>
            <w:tcW w:w="1723" w:type="dxa"/>
            <w:noWrap w:val="0"/>
            <w:vAlign w:val="center"/>
          </w:tcPr>
          <w:p w14:paraId="270960D5">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t>检查事项</w:t>
            </w:r>
          </w:p>
        </w:tc>
        <w:tc>
          <w:tcPr>
            <w:tcW w:w="4009" w:type="dxa"/>
            <w:noWrap w:val="0"/>
            <w:vAlign w:val="center"/>
          </w:tcPr>
          <w:p w14:paraId="05471C5C">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t>执法依据</w:t>
            </w:r>
          </w:p>
        </w:tc>
        <w:tc>
          <w:tcPr>
            <w:tcW w:w="1573" w:type="dxa"/>
            <w:noWrap w:val="0"/>
            <w:vAlign w:val="center"/>
          </w:tcPr>
          <w:p w14:paraId="2D04DCDC">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kern w:val="2"/>
                <w:sz w:val="24"/>
                <w:szCs w:val="24"/>
                <w:highlight w:val="none"/>
                <w:vertAlign w:val="baseline"/>
                <w:lang w:val="en" w:eastAsia="zh-CN" w:bidi="ar-SA"/>
                <w14:textFill>
                  <w14:solidFill>
                    <w14:schemeClr w14:val="tx1"/>
                  </w14:solidFill>
                </w14:textFill>
              </w:rPr>
            </w:pPr>
            <w:r>
              <w:rPr>
                <w:rFonts w:hint="eastAsia" w:ascii="仿宋" w:hAnsi="仿宋" w:eastAsia="仿宋" w:cs="仿宋"/>
                <w:b/>
                <w:bCs w:val="0"/>
                <w:color w:val="000000" w:themeColor="text1"/>
                <w:kern w:val="0"/>
                <w:sz w:val="24"/>
                <w:szCs w:val="24"/>
                <w:highlight w:val="none"/>
                <w:lang w:val="en-US" w:eastAsia="zh-CN"/>
                <w14:textFill>
                  <w14:solidFill>
                    <w14:schemeClr w14:val="tx1"/>
                  </w14:solidFill>
                </w14:textFill>
              </w:rPr>
              <w:t>检查主体（实施层级）</w:t>
            </w:r>
          </w:p>
        </w:tc>
        <w:tc>
          <w:tcPr>
            <w:tcW w:w="1599" w:type="dxa"/>
            <w:noWrap w:val="0"/>
            <w:vAlign w:val="center"/>
          </w:tcPr>
          <w:p w14:paraId="3BBA341D">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t>承办机构</w:t>
            </w:r>
          </w:p>
        </w:tc>
        <w:tc>
          <w:tcPr>
            <w:tcW w:w="1246" w:type="dxa"/>
            <w:noWrap w:val="0"/>
            <w:vAlign w:val="center"/>
          </w:tcPr>
          <w:p w14:paraId="65A9EF2D">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sz w:val="24"/>
                <w:szCs w:val="24"/>
                <w:highlight w:val="none"/>
                <w:vertAlign w:val="baseline"/>
                <w:lang w:eastAsia="zh-CN"/>
                <w14:textFill>
                  <w14:solidFill>
                    <w14:schemeClr w14:val="tx1"/>
                  </w14:solidFill>
                </w14:textFill>
              </w:rPr>
            </w:pPr>
            <w: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t>检查对象</w:t>
            </w:r>
          </w:p>
        </w:tc>
        <w:tc>
          <w:tcPr>
            <w:tcW w:w="1370" w:type="dxa"/>
            <w:noWrap w:val="0"/>
            <w:vAlign w:val="center"/>
          </w:tcPr>
          <w:p w14:paraId="47E62F44">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pPr>
            <w: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t>检查内容</w:t>
            </w:r>
          </w:p>
        </w:tc>
        <w:tc>
          <w:tcPr>
            <w:tcW w:w="898" w:type="dxa"/>
            <w:noWrap w:val="0"/>
            <w:vAlign w:val="center"/>
          </w:tcPr>
          <w:p w14:paraId="0DE3B538">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pPr>
            <w: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t>检查方式</w:t>
            </w:r>
          </w:p>
        </w:tc>
        <w:tc>
          <w:tcPr>
            <w:tcW w:w="1386" w:type="dxa"/>
            <w:noWrap w:val="0"/>
            <w:vAlign w:val="center"/>
          </w:tcPr>
          <w:p w14:paraId="4CFDB22F">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pPr>
            <w:r>
              <w:rPr>
                <w:rFonts w:hint="eastAsia" w:ascii="仿宋" w:hAnsi="仿宋" w:eastAsia="仿宋" w:cs="仿宋"/>
                <w:b/>
                <w:bCs w:val="0"/>
                <w:color w:val="000000" w:themeColor="text1"/>
                <w:kern w:val="0"/>
                <w:sz w:val="24"/>
                <w:szCs w:val="24"/>
                <w:highlight w:val="none"/>
                <w:lang w:eastAsia="zh-CN"/>
                <w14:textFill>
                  <w14:solidFill>
                    <w14:schemeClr w14:val="tx1"/>
                  </w14:solidFill>
                </w14:textFill>
              </w:rPr>
              <w:t>检查频次</w:t>
            </w:r>
          </w:p>
        </w:tc>
        <w:tc>
          <w:tcPr>
            <w:tcW w:w="1406" w:type="dxa"/>
            <w:noWrap w:val="0"/>
            <w:vAlign w:val="center"/>
          </w:tcPr>
          <w:p w14:paraId="59B7B9A7">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
                <w:bCs w:val="0"/>
                <w:color w:val="000000" w:themeColor="text1"/>
                <w:sz w:val="21"/>
                <w:szCs w:val="21"/>
                <w:highlight w:val="none"/>
                <w:vertAlign w:val="baseline"/>
                <w14:textFill>
                  <w14:solidFill>
                    <w14:schemeClr w14:val="tx1"/>
                  </w14:solidFill>
                </w14:textFill>
              </w:rPr>
            </w:pPr>
            <w:r>
              <w:rPr>
                <w:rFonts w:hint="eastAsia" w:ascii="仿宋" w:hAnsi="仿宋" w:eastAsia="仿宋" w:cs="仿宋"/>
                <w:b/>
                <w:bCs w:val="0"/>
                <w:color w:val="000000" w:themeColor="text1"/>
                <w:kern w:val="0"/>
                <w:sz w:val="21"/>
                <w:szCs w:val="21"/>
                <w:highlight w:val="none"/>
                <w:lang w:eastAsia="zh-CN"/>
                <w14:textFill>
                  <w14:solidFill>
                    <w14:schemeClr w14:val="tx1"/>
                  </w14:solidFill>
                </w14:textFill>
              </w:rPr>
              <w:t>备注</w:t>
            </w:r>
          </w:p>
        </w:tc>
      </w:tr>
      <w:tr w14:paraId="2CD0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8" w:type="dxa"/>
            <w:noWrap w:val="0"/>
            <w:vAlign w:val="center"/>
          </w:tcPr>
          <w:p w14:paraId="5F12876C">
            <w:pPr>
              <w:keepNext w:val="0"/>
              <w:keepLines w:val="0"/>
              <w:pageBreakBefore w:val="0"/>
              <w:widowControl w:val="0"/>
              <w:tabs>
                <w:tab w:val="left" w:pos="0"/>
              </w:tabs>
              <w:kinsoku/>
              <w:wordWrap/>
              <w:overflowPunct w:val="0"/>
              <w:topLinePunct/>
              <w:autoSpaceDE/>
              <w:autoSpaceDN/>
              <w:bidi w:val="0"/>
              <w:adjustRightInd w:val="0"/>
              <w:snapToGrid w:val="0"/>
              <w:spacing w:line="320" w:lineRule="exact"/>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1</w:t>
            </w:r>
          </w:p>
        </w:tc>
        <w:tc>
          <w:tcPr>
            <w:tcW w:w="1723" w:type="dxa"/>
            <w:noWrap w:val="0"/>
            <w:vAlign w:val="center"/>
          </w:tcPr>
          <w:p w14:paraId="2156C6AB">
            <w:pPr>
              <w:keepNext w:val="0"/>
              <w:keepLines w:val="0"/>
              <w:pageBreakBefore w:val="0"/>
              <w:widowControl w:val="0"/>
              <w:kinsoku/>
              <w:wordWrap/>
              <w:overflowPunct w:val="0"/>
              <w:topLinePunct/>
              <w:autoSpaceDE/>
              <w:autoSpaceDN/>
              <w:bidi w:val="0"/>
              <w:adjustRightInd w:val="0"/>
              <w:snapToGrid w:val="0"/>
              <w:spacing w:line="320" w:lineRule="exact"/>
              <w:rPr>
                <w:rFonts w:hint="eastAsia" w:ascii="仿宋" w:hAnsi="仿宋" w:eastAsia="仿宋" w:cs="仿宋"/>
                <w:color w:val="000000" w:themeColor="text1"/>
                <w:kern w:val="0"/>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对企业环境信息依法披露情况的行政检查</w:t>
            </w:r>
          </w:p>
        </w:tc>
        <w:tc>
          <w:tcPr>
            <w:tcW w:w="4009" w:type="dxa"/>
            <w:noWrap w:val="0"/>
            <w:vAlign w:val="center"/>
          </w:tcPr>
          <w:p w14:paraId="4BF6906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1.《企业环境信息依法披露管理办法》（生态环境部令第24号，2022年2月8日施行）</w:t>
            </w:r>
          </w:p>
          <w:p w14:paraId="0A4E570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第二十四条 生态环境主管部门应当会同有关部门加强对企业环境信息依法披露活动的监督检查，及时受理社会公众举报，依法查处企业未按规定披露环境信息的行为。鼓励生态环境主管部门运用大数据分析、人工智能等技术手段开展监督检查。</w:t>
            </w:r>
          </w:p>
        </w:tc>
        <w:tc>
          <w:tcPr>
            <w:tcW w:w="1573" w:type="dxa"/>
            <w:noWrap w:val="0"/>
            <w:vAlign w:val="center"/>
          </w:tcPr>
          <w:p w14:paraId="7B2178BA">
            <w:pPr>
              <w:keepNext w:val="0"/>
              <w:keepLines w:val="0"/>
              <w:pageBreakBefore w:val="0"/>
              <w:widowControl w:val="0"/>
              <w:kinsoku/>
              <w:wordWrap/>
              <w:overflowPunct w:val="0"/>
              <w:topLinePunct/>
              <w:autoSpaceDE/>
              <w:autoSpaceDN/>
              <w:bidi w:val="0"/>
              <w:adjustRightInd w:val="0"/>
              <w:snapToGrid w:val="0"/>
              <w:spacing w:line="320" w:lineRule="exact"/>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312F450D">
            <w:pPr>
              <w:keepNext w:val="0"/>
              <w:keepLines w:val="0"/>
              <w:pageBreakBefore w:val="0"/>
              <w:widowControl w:val="0"/>
              <w:kinsoku/>
              <w:wordWrap/>
              <w:overflowPunct w:val="0"/>
              <w:topLinePunct/>
              <w:autoSpaceDE/>
              <w:autoSpaceDN/>
              <w:bidi w:val="0"/>
              <w:adjustRightInd w:val="0"/>
              <w:snapToGrid w:val="0"/>
              <w:spacing w:line="320" w:lineRule="exact"/>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09CB6780">
            <w:pPr>
              <w:keepNext w:val="0"/>
              <w:keepLines w:val="0"/>
              <w:pageBreakBefore w:val="0"/>
              <w:widowControl w:val="0"/>
              <w:kinsoku/>
              <w:wordWrap/>
              <w:overflowPunct w:val="0"/>
              <w:topLinePunct/>
              <w:autoSpaceDE/>
              <w:autoSpaceDN/>
              <w:bidi w:val="0"/>
              <w:adjustRightInd w:val="0"/>
              <w:snapToGrid w:val="0"/>
              <w:spacing w:line="320" w:lineRule="exact"/>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纳入环境信息依法披露名单的相关企业</w:t>
            </w:r>
          </w:p>
        </w:tc>
        <w:tc>
          <w:tcPr>
            <w:tcW w:w="1370" w:type="dxa"/>
            <w:noWrap w:val="0"/>
            <w:vAlign w:val="center"/>
          </w:tcPr>
          <w:p w14:paraId="429A002B">
            <w:pPr>
              <w:keepNext w:val="0"/>
              <w:keepLines w:val="0"/>
              <w:pageBreakBefore w:val="0"/>
              <w:widowControl w:val="0"/>
              <w:kinsoku/>
              <w:wordWrap/>
              <w:overflowPunct w:val="0"/>
              <w:topLinePunct/>
              <w:autoSpaceDE/>
              <w:autoSpaceDN/>
              <w:bidi w:val="0"/>
              <w:adjustRightInd w:val="0"/>
              <w:snapToGrid w:val="0"/>
              <w:spacing w:line="320" w:lineRule="exact"/>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企业环境信息依法披露情况监督检查</w:t>
            </w:r>
          </w:p>
        </w:tc>
        <w:tc>
          <w:tcPr>
            <w:tcW w:w="898" w:type="dxa"/>
            <w:noWrap w:val="0"/>
            <w:vAlign w:val="center"/>
          </w:tcPr>
          <w:p w14:paraId="24448181">
            <w:pPr>
              <w:keepNext w:val="0"/>
              <w:keepLines w:val="0"/>
              <w:pageBreakBefore w:val="0"/>
              <w:widowControl w:val="0"/>
              <w:kinsoku/>
              <w:wordWrap/>
              <w:autoSpaceDE/>
              <w:autoSpaceDN/>
              <w:bidi w:val="0"/>
              <w:adjustRightInd w:val="0"/>
              <w:snapToGrid w:val="0"/>
              <w:spacing w:line="320" w:lineRule="exact"/>
              <w:jc w:val="both"/>
              <w:textAlignment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24E3388C">
            <w:pPr>
              <w:keepNext w:val="0"/>
              <w:keepLines w:val="0"/>
              <w:pageBreakBefore w:val="0"/>
              <w:widowControl w:val="0"/>
              <w:kinsoku/>
              <w:wordWrap/>
              <w:overflowPunct w:val="0"/>
              <w:topLinePunct/>
              <w:autoSpaceDE/>
              <w:autoSpaceDN/>
              <w:bidi w:val="0"/>
              <w:adjustRightInd w:val="0"/>
              <w:snapToGrid w:val="0"/>
              <w:spacing w:line="320" w:lineRule="exact"/>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2326B836">
            <w:pPr>
              <w:keepNext w:val="0"/>
              <w:keepLines w:val="0"/>
              <w:pageBreakBefore w:val="0"/>
              <w:widowControl w:val="0"/>
              <w:kinsoku/>
              <w:wordWrap/>
              <w:autoSpaceDE/>
              <w:autoSpaceDN/>
              <w:bidi w:val="0"/>
              <w:adjustRightInd w:val="0"/>
              <w:snapToGrid w:val="0"/>
              <w:spacing w:line="320" w:lineRule="exact"/>
              <w:jc w:val="left"/>
              <w:rPr>
                <w:rFonts w:hint="default" w:ascii="仿宋" w:hAnsi="仿宋" w:eastAsia="仿宋" w:cs="仿宋"/>
                <w:bCs/>
                <w:color w:val="000000" w:themeColor="text1"/>
                <w:kern w:val="2"/>
                <w:sz w:val="21"/>
                <w:szCs w:val="21"/>
                <w:highlight w:val="none"/>
                <w:lang w:val="en-US" w:eastAsia="zh-CN" w:bidi="ar-SA"/>
                <w14:textFill>
                  <w14:solidFill>
                    <w14:schemeClr w14:val="tx1"/>
                  </w14:solidFill>
                </w14:textFill>
              </w:rPr>
            </w:pPr>
          </w:p>
        </w:tc>
      </w:tr>
      <w:tr w14:paraId="18BD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788" w:type="dxa"/>
            <w:noWrap w:val="0"/>
            <w:vAlign w:val="center"/>
          </w:tcPr>
          <w:p w14:paraId="2475764E">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p>
        </w:tc>
        <w:tc>
          <w:tcPr>
            <w:tcW w:w="1723" w:type="dxa"/>
            <w:noWrap w:val="0"/>
            <w:vAlign w:val="center"/>
          </w:tcPr>
          <w:p w14:paraId="6BEAF28A">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对排放</w:t>
            </w:r>
            <w:r>
              <w:rPr>
                <w:rFonts w:hint="eastAsia" w:ascii="仿宋" w:hAnsi="仿宋" w:eastAsia="仿宋" w:cs="仿宋"/>
                <w:color w:val="000000" w:themeColor="text1"/>
                <w:sz w:val="24"/>
                <w:szCs w:val="24"/>
                <w:highlight w:val="none"/>
                <w:lang w:eastAsia="zh-CN"/>
                <w14:textFill>
                  <w14:solidFill>
                    <w14:schemeClr w14:val="tx1"/>
                  </w14:solidFill>
                </w14:textFill>
              </w:rPr>
              <w:t>水</w:t>
            </w:r>
            <w:r>
              <w:rPr>
                <w:rFonts w:hint="eastAsia" w:ascii="仿宋" w:hAnsi="仿宋" w:eastAsia="仿宋" w:cs="仿宋"/>
                <w:color w:val="000000" w:themeColor="text1"/>
                <w:sz w:val="24"/>
                <w:szCs w:val="24"/>
                <w:highlight w:val="none"/>
                <w14:textFill>
                  <w14:solidFill>
                    <w14:schemeClr w14:val="tx1"/>
                  </w14:solidFill>
                </w14:textFill>
              </w:rPr>
              <w:t>污染物的企业事业单位和其他生产经营者</w:t>
            </w:r>
            <w:r>
              <w:rPr>
                <w:rFonts w:hint="eastAsia" w:ascii="仿宋" w:hAnsi="仿宋" w:eastAsia="仿宋" w:cs="仿宋"/>
                <w:color w:val="000000" w:themeColor="text1"/>
                <w:sz w:val="24"/>
                <w:szCs w:val="24"/>
                <w:highlight w:val="none"/>
                <w:lang w:eastAsia="zh-CN"/>
                <w14:textFill>
                  <w14:solidFill>
                    <w14:schemeClr w14:val="tx1"/>
                  </w14:solidFill>
                </w14:textFill>
              </w:rPr>
              <w:t>的行政检查</w:t>
            </w:r>
          </w:p>
        </w:tc>
        <w:tc>
          <w:tcPr>
            <w:tcW w:w="4009" w:type="dxa"/>
            <w:noWrap w:val="0"/>
            <w:vAlign w:val="center"/>
          </w:tcPr>
          <w:p w14:paraId="6A661FF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1.《中华人民共和国环境保护法》（2014年修订）</w:t>
            </w:r>
          </w:p>
          <w:p w14:paraId="32606BA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087E9EE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2.《中华人民共和国水污染防治法》（2017年修正）</w:t>
            </w:r>
          </w:p>
          <w:p w14:paraId="14BA562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第三十条 环境保护主管部门和其他依照本法规定行使监督管理权的部门，有权对管辖范围内的排污单位进行现场检查，被检查的单位应当如实反映情况，提供必要的资料。检查机关有义务为被检查的单位保守在检查中获取的商业秘密。</w:t>
            </w:r>
          </w:p>
          <w:p w14:paraId="5B3551A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3.《湖南省环境保护条例》（2024年修正）</w:t>
            </w:r>
          </w:p>
          <w:p w14:paraId="674580C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一条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2B15875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被检查者应当配合检查，如实反映情况，提供必要的资料。</w:t>
            </w:r>
          </w:p>
          <w:p w14:paraId="6C64F8F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 xml:space="preserve">4.《湖南省湘江保护条例》（2023年修正） </w:t>
            </w:r>
          </w:p>
          <w:p w14:paraId="27FE10F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shd w:val="clear" w:color="auto" w:fill="FFFFFF"/>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第七条 湘江流域县级以上人民政府水利、生态环境、交通运输、发展和改革、自然资源、林业、农业农村等有关部门应当按照各自职责，做好本行政区域内湘江保护的有关工作。</w:t>
            </w:r>
          </w:p>
        </w:tc>
        <w:tc>
          <w:tcPr>
            <w:tcW w:w="1573" w:type="dxa"/>
            <w:noWrap w:val="0"/>
            <w:vAlign w:val="center"/>
          </w:tcPr>
          <w:p w14:paraId="6F74DAA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19577358">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1B77A8E4">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排放</w:t>
            </w:r>
            <w:r>
              <w:rPr>
                <w:rFonts w:hint="eastAsia" w:ascii="仿宋" w:hAnsi="仿宋" w:eastAsia="仿宋" w:cs="仿宋"/>
                <w:color w:val="000000" w:themeColor="text1"/>
                <w:sz w:val="24"/>
                <w:szCs w:val="24"/>
                <w:highlight w:val="none"/>
                <w:lang w:eastAsia="zh-CN"/>
                <w14:textFill>
                  <w14:solidFill>
                    <w14:schemeClr w14:val="tx1"/>
                  </w14:solidFill>
                </w14:textFill>
              </w:rPr>
              <w:t>水</w:t>
            </w:r>
            <w:r>
              <w:rPr>
                <w:rFonts w:hint="eastAsia" w:ascii="仿宋" w:hAnsi="仿宋" w:eastAsia="仿宋" w:cs="仿宋"/>
                <w:color w:val="000000" w:themeColor="text1"/>
                <w:sz w:val="24"/>
                <w:szCs w:val="24"/>
                <w:highlight w:val="none"/>
                <w14:textFill>
                  <w14:solidFill>
                    <w14:schemeClr w14:val="tx1"/>
                  </w14:solidFill>
                </w14:textFill>
              </w:rPr>
              <w:t>污染物的企业和其他生产经营者</w:t>
            </w:r>
          </w:p>
        </w:tc>
        <w:tc>
          <w:tcPr>
            <w:tcW w:w="1370" w:type="dxa"/>
            <w:noWrap w:val="0"/>
            <w:vAlign w:val="center"/>
          </w:tcPr>
          <w:p w14:paraId="45E73B7E">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1.污染防治设施运行情况监督检查</w:t>
            </w:r>
          </w:p>
          <w:p w14:paraId="2A9E0796">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2.达标排放情况监督检查</w:t>
            </w:r>
          </w:p>
        </w:tc>
        <w:tc>
          <w:tcPr>
            <w:tcW w:w="898" w:type="dxa"/>
            <w:noWrap w:val="0"/>
            <w:vAlign w:val="center"/>
          </w:tcPr>
          <w:p w14:paraId="18259F82">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1C0867FC">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涉企年度行政检查计划执行</w:t>
            </w:r>
          </w:p>
        </w:tc>
        <w:tc>
          <w:tcPr>
            <w:tcW w:w="1406" w:type="dxa"/>
            <w:noWrap w:val="0"/>
            <w:vAlign w:val="center"/>
          </w:tcPr>
          <w:p w14:paraId="27C07DEA">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p>
        </w:tc>
      </w:tr>
      <w:tr w14:paraId="579A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788" w:type="dxa"/>
            <w:noWrap w:val="0"/>
            <w:vAlign w:val="center"/>
          </w:tcPr>
          <w:p w14:paraId="72C3ADC6">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3</w:t>
            </w:r>
          </w:p>
        </w:tc>
        <w:tc>
          <w:tcPr>
            <w:tcW w:w="1723" w:type="dxa"/>
            <w:noWrap w:val="0"/>
            <w:vAlign w:val="center"/>
          </w:tcPr>
          <w:p w14:paraId="6A066CA8">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对城镇污水集中处理设施的出水水质和水量的行政检查</w:t>
            </w:r>
          </w:p>
        </w:tc>
        <w:tc>
          <w:tcPr>
            <w:tcW w:w="4009" w:type="dxa"/>
            <w:noWrap w:val="0"/>
            <w:vAlign w:val="center"/>
          </w:tcPr>
          <w:p w14:paraId="25DC39A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1.《中华人民共和国水污染防治法》（2017年修正）</w:t>
            </w:r>
          </w:p>
          <w:p w14:paraId="582C1E9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第五十条 向城镇污水集中处理设施排放水污染物，应当符合国家或者地方规定的水污染物排放标准。</w:t>
            </w:r>
          </w:p>
          <w:p w14:paraId="42827EA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城镇污水集中处理设施的运营单位，应当对城镇污水集中处理设施的出水水质负责。</w:t>
            </w:r>
          </w:p>
          <w:p w14:paraId="5A65D8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环境保护主管部门应当对城镇污水集中处理设施的出水水质和水量进行监督检查。</w:t>
            </w:r>
          </w:p>
          <w:p w14:paraId="00BF4A1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2《湖南省城镇污水管网建设运行管理若干规定》(2024年3月1日起施行)</w:t>
            </w:r>
          </w:p>
          <w:p w14:paraId="3F8B063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第一条第三款 县级以上人民政府排水与污水处理主管部门（以下简称排水主管部门）负责统筹组织城镇污水管网以及污水收集、输送、处理相关设施的规划、建设、运行、维护和管理工作。县级以上人民政府发展改革、财政、自然资源、生态环境、水利等部门按照各自职责，做好相关工作。</w:t>
            </w:r>
          </w:p>
          <w:p w14:paraId="50EFCF3C">
            <w:pPr>
              <w:keepNext w:val="0"/>
              <w:keepLines w:val="0"/>
              <w:widowControl w:val="0"/>
              <w:numPr>
                <w:ilvl w:val="0"/>
                <w:numId w:val="0"/>
              </w:numPr>
              <w:suppressLineNumbers w:val="0"/>
              <w:spacing w:before="0" w:beforeLines="0" w:beforeAutospacing="0" w:after="0" w:afterLines="0" w:afterAutospacing="0"/>
              <w:ind w:leftChars="0" w:right="0" w:rightChars="0"/>
              <w:jc w:val="both"/>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pPr>
          </w:p>
          <w:p w14:paraId="4E382D0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p>
        </w:tc>
        <w:tc>
          <w:tcPr>
            <w:tcW w:w="1573" w:type="dxa"/>
            <w:noWrap w:val="0"/>
            <w:vAlign w:val="center"/>
          </w:tcPr>
          <w:p w14:paraId="031621C4">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32260772">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3CD22E45">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城镇污水集中处理设施</w:t>
            </w:r>
            <w:r>
              <w:rPr>
                <w:rFonts w:hint="eastAsia" w:ascii="仿宋" w:hAnsi="仿宋" w:eastAsia="仿宋" w:cs="仿宋"/>
                <w:color w:val="000000" w:themeColor="text1"/>
                <w:sz w:val="24"/>
                <w:szCs w:val="24"/>
                <w:highlight w:val="none"/>
                <w:lang w:val="en-US" w:eastAsia="zh-CN"/>
                <w14:textFill>
                  <w14:solidFill>
                    <w14:schemeClr w14:val="tx1"/>
                  </w14:solidFill>
                </w14:textFill>
              </w:rPr>
              <w:t>的运营企业</w:t>
            </w:r>
          </w:p>
        </w:tc>
        <w:tc>
          <w:tcPr>
            <w:tcW w:w="1370" w:type="dxa"/>
            <w:noWrap w:val="0"/>
            <w:vAlign w:val="center"/>
          </w:tcPr>
          <w:p w14:paraId="61984FC8">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达标排放情况监督检查</w:t>
            </w:r>
          </w:p>
        </w:tc>
        <w:tc>
          <w:tcPr>
            <w:tcW w:w="898" w:type="dxa"/>
            <w:noWrap w:val="0"/>
            <w:vAlign w:val="center"/>
          </w:tcPr>
          <w:p w14:paraId="0A302FC6">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31B96C62">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涉企年度行政检查计划执行</w:t>
            </w:r>
          </w:p>
        </w:tc>
        <w:tc>
          <w:tcPr>
            <w:tcW w:w="1406" w:type="dxa"/>
            <w:noWrap w:val="0"/>
            <w:vAlign w:val="center"/>
          </w:tcPr>
          <w:p w14:paraId="294BD4B9">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p>
        </w:tc>
      </w:tr>
      <w:tr w14:paraId="7EAF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5" w:hRule="atLeast"/>
          <w:jc w:val="center"/>
        </w:trPr>
        <w:tc>
          <w:tcPr>
            <w:tcW w:w="788" w:type="dxa"/>
            <w:noWrap w:val="0"/>
            <w:vAlign w:val="center"/>
          </w:tcPr>
          <w:p w14:paraId="48B7A7CC">
            <w:pPr>
              <w:keepNext w:val="0"/>
              <w:keepLines w:val="0"/>
              <w:pageBreakBefore w:val="0"/>
              <w:widowControl w:val="0"/>
              <w:tabs>
                <w:tab w:val="left" w:pos="0"/>
              </w:tabs>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4</w:t>
            </w:r>
          </w:p>
        </w:tc>
        <w:tc>
          <w:tcPr>
            <w:tcW w:w="1723" w:type="dxa"/>
            <w:noWrap w:val="0"/>
            <w:vAlign w:val="center"/>
          </w:tcPr>
          <w:p w14:paraId="79904E3E">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对入河排污口的</w:t>
            </w:r>
            <w:r>
              <w:rPr>
                <w:rFonts w:hint="eastAsia" w:ascii="仿宋" w:hAnsi="仿宋" w:eastAsia="仿宋" w:cs="仿宋"/>
                <w:color w:val="000000" w:themeColor="text1"/>
                <w:sz w:val="24"/>
                <w:szCs w:val="24"/>
                <w:highlight w:val="none"/>
                <w:lang w:eastAsia="zh-CN"/>
                <w14:textFill>
                  <w14:solidFill>
                    <w14:schemeClr w14:val="tx1"/>
                  </w14:solidFill>
                </w14:textFill>
              </w:rPr>
              <w:t>行政</w:t>
            </w:r>
            <w:r>
              <w:rPr>
                <w:rFonts w:hint="eastAsia" w:ascii="仿宋" w:hAnsi="仿宋" w:eastAsia="仿宋" w:cs="仿宋"/>
                <w:color w:val="000000" w:themeColor="text1"/>
                <w:sz w:val="24"/>
                <w:szCs w:val="24"/>
                <w:highlight w:val="none"/>
                <w14:textFill>
                  <w14:solidFill>
                    <w14:schemeClr w14:val="tx1"/>
                  </w14:solidFill>
                </w14:textFill>
              </w:rPr>
              <w:t>检查</w:t>
            </w:r>
          </w:p>
        </w:tc>
        <w:tc>
          <w:tcPr>
            <w:tcW w:w="4009" w:type="dxa"/>
            <w:noWrap w:val="0"/>
            <w:vAlign w:val="center"/>
          </w:tcPr>
          <w:p w14:paraId="2DE7EAA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1、《入河排污口监督管理办法》（生态环境部令第35号，2025年1月1日施行）</w:t>
            </w:r>
          </w:p>
          <w:p w14:paraId="06FA1EA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第二十六条 流域生态环境监督管理机构应当加大对流域内入河排污口的监督检查力度，发现问题及时通报有关单位。</w:t>
            </w:r>
          </w:p>
          <w:p w14:paraId="6091922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highlight w:val="none"/>
                <w:shd w:val="clear" w:color="auto" w:fill="FFFFFF"/>
                <w:lang w:val="en-US" w:eastAsia="zh-CN" w:bidi="ar-SA"/>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地方生态环境主管部门应当加强对入河排污口的现场检查，必要时可以会同有关部门开展联合监督检查。</w:t>
            </w:r>
          </w:p>
        </w:tc>
        <w:tc>
          <w:tcPr>
            <w:tcW w:w="1573" w:type="dxa"/>
            <w:noWrap w:val="0"/>
            <w:vAlign w:val="center"/>
          </w:tcPr>
          <w:p w14:paraId="097AAA6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24897DA9">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004D4B89">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入河排污口责任主体（</w:t>
            </w:r>
            <w:r>
              <w:rPr>
                <w:rFonts w:hint="eastAsia" w:ascii="仿宋" w:hAnsi="仿宋" w:eastAsia="仿宋" w:cs="仿宋"/>
                <w:color w:val="000000" w:themeColor="text1"/>
                <w:sz w:val="24"/>
                <w:szCs w:val="24"/>
                <w:highlight w:val="none"/>
                <w:lang w:val="en-US" w:eastAsia="zh-CN"/>
                <w14:textFill>
                  <w14:solidFill>
                    <w14:schemeClr w14:val="tx1"/>
                  </w14:solidFill>
                </w14:textFill>
              </w:rPr>
              <w:t>排污企业）</w:t>
            </w:r>
          </w:p>
        </w:tc>
        <w:tc>
          <w:tcPr>
            <w:tcW w:w="1370" w:type="dxa"/>
            <w:noWrap w:val="0"/>
            <w:vAlign w:val="center"/>
          </w:tcPr>
          <w:p w14:paraId="0EC8A56F">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1.设置审批或登记情况监督检查</w:t>
            </w:r>
          </w:p>
          <w:p w14:paraId="61D74423">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2.排查整治情况监督检查</w:t>
            </w:r>
          </w:p>
          <w:p w14:paraId="1C228DA3">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3.规范化建设情况监督检查</w:t>
            </w:r>
          </w:p>
          <w:p w14:paraId="2867A84D">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4.达标排放情况监督检查</w:t>
            </w:r>
          </w:p>
        </w:tc>
        <w:tc>
          <w:tcPr>
            <w:tcW w:w="898" w:type="dxa"/>
            <w:noWrap w:val="0"/>
            <w:vAlign w:val="center"/>
          </w:tcPr>
          <w:p w14:paraId="5144EE25">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00717F79">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涉企年度行政检查计划执行</w:t>
            </w:r>
          </w:p>
        </w:tc>
        <w:tc>
          <w:tcPr>
            <w:tcW w:w="1406" w:type="dxa"/>
            <w:noWrap w:val="0"/>
            <w:vAlign w:val="center"/>
          </w:tcPr>
          <w:p w14:paraId="720CED63">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p>
        </w:tc>
      </w:tr>
      <w:tr w14:paraId="4B71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88" w:type="dxa"/>
            <w:noWrap w:val="0"/>
            <w:vAlign w:val="center"/>
          </w:tcPr>
          <w:p w14:paraId="53CD4247">
            <w:pPr>
              <w:keepNext w:val="0"/>
              <w:keepLines w:val="0"/>
              <w:pageBreakBefore w:val="0"/>
              <w:widowControl w:val="0"/>
              <w:tabs>
                <w:tab w:val="left" w:pos="0"/>
              </w:tabs>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5</w:t>
            </w:r>
          </w:p>
        </w:tc>
        <w:tc>
          <w:tcPr>
            <w:tcW w:w="1723" w:type="dxa"/>
            <w:noWrap w:val="0"/>
            <w:vAlign w:val="center"/>
          </w:tcPr>
          <w:p w14:paraId="4C321A2F">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对饮用水水源保护区及有关流域、区域内污染物排放情况的</w:t>
            </w:r>
            <w:r>
              <w:rPr>
                <w:rFonts w:hint="eastAsia" w:ascii="仿宋" w:hAnsi="仿宋" w:eastAsia="仿宋" w:cs="仿宋"/>
                <w:color w:val="000000" w:themeColor="text1"/>
                <w:sz w:val="24"/>
                <w:szCs w:val="24"/>
                <w:highlight w:val="none"/>
                <w:lang w:eastAsia="zh-CN"/>
                <w14:textFill>
                  <w14:solidFill>
                    <w14:schemeClr w14:val="tx1"/>
                  </w14:solidFill>
                </w14:textFill>
              </w:rPr>
              <w:t>行政</w:t>
            </w:r>
            <w:r>
              <w:rPr>
                <w:rFonts w:hint="eastAsia" w:ascii="仿宋" w:hAnsi="仿宋" w:eastAsia="仿宋" w:cs="仿宋"/>
                <w:color w:val="000000" w:themeColor="text1"/>
                <w:sz w:val="24"/>
                <w:szCs w:val="24"/>
                <w:highlight w:val="none"/>
                <w14:textFill>
                  <w14:solidFill>
                    <w14:schemeClr w14:val="tx1"/>
                  </w14:solidFill>
                </w14:textFill>
              </w:rPr>
              <w:t>检查</w:t>
            </w:r>
          </w:p>
        </w:tc>
        <w:tc>
          <w:tcPr>
            <w:tcW w:w="4009" w:type="dxa"/>
            <w:noWrap w:val="0"/>
            <w:vAlign w:val="center"/>
          </w:tcPr>
          <w:p w14:paraId="11613C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1.《湖南省饮用水水源保护条例》（2023年修正）</w:t>
            </w:r>
          </w:p>
          <w:p w14:paraId="3E935BB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第三十二条　县级以上人民政府生态环境主管部门应当会同有关部门加强对饮用水水源保护区及有关流域、区域内污染物排放情况的监督检查，定期开展安全隐患排查，发现饮用水水源受到污染或者可能受到污染的，应当根据相应情况及时制止和查处。</w:t>
            </w:r>
          </w:p>
          <w:p w14:paraId="4112F2F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饮用水水源水质达不到国家规定水质标准的，县级以上人民政府可以对有关区域的排污单位依法采取停产、限产等措施，减少污染物排放，确保饮用水安全。</w:t>
            </w:r>
          </w:p>
          <w:p w14:paraId="669737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对饮用水水源保护区和准保护区内不能确定责任人的污染源，由所在地县级人民政府组织有关部门和单位予以治理。</w:t>
            </w:r>
          </w:p>
        </w:tc>
        <w:tc>
          <w:tcPr>
            <w:tcW w:w="1573" w:type="dxa"/>
            <w:noWrap w:val="0"/>
            <w:vAlign w:val="center"/>
          </w:tcPr>
          <w:p w14:paraId="4A2A0BC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476DB898">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2F7A814A">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饮用水水源保护区及有关流域、区域内污染物排放企业</w:t>
            </w:r>
          </w:p>
        </w:tc>
        <w:tc>
          <w:tcPr>
            <w:tcW w:w="1370" w:type="dxa"/>
            <w:noWrap w:val="0"/>
            <w:vAlign w:val="center"/>
          </w:tcPr>
          <w:p w14:paraId="6DC00CF3">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1.污染源整治的监督检查</w:t>
            </w:r>
          </w:p>
          <w:p w14:paraId="1809CE53">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2.规范化建设的监督检查</w:t>
            </w:r>
          </w:p>
          <w:p w14:paraId="699F40B2">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3.水质达标的监督检查</w:t>
            </w:r>
          </w:p>
        </w:tc>
        <w:tc>
          <w:tcPr>
            <w:tcW w:w="898" w:type="dxa"/>
            <w:noWrap w:val="0"/>
            <w:vAlign w:val="center"/>
          </w:tcPr>
          <w:p w14:paraId="431C279B">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7F0C6BD5">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涉企年度行政检查计划执行</w:t>
            </w:r>
          </w:p>
        </w:tc>
        <w:tc>
          <w:tcPr>
            <w:tcW w:w="1406" w:type="dxa"/>
            <w:noWrap w:val="0"/>
            <w:vAlign w:val="center"/>
          </w:tcPr>
          <w:p w14:paraId="7BF525D5">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p>
        </w:tc>
      </w:tr>
      <w:tr w14:paraId="24DC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7" w:hRule="atLeast"/>
          <w:jc w:val="center"/>
        </w:trPr>
        <w:tc>
          <w:tcPr>
            <w:tcW w:w="788" w:type="dxa"/>
            <w:noWrap w:val="0"/>
            <w:vAlign w:val="center"/>
          </w:tcPr>
          <w:p w14:paraId="142C3E03">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6</w:t>
            </w:r>
          </w:p>
        </w:tc>
        <w:tc>
          <w:tcPr>
            <w:tcW w:w="1723" w:type="dxa"/>
            <w:noWrap w:val="0"/>
            <w:vAlign w:val="center"/>
          </w:tcPr>
          <w:p w14:paraId="1B755804">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对排放大气污染物的企业事业单位和其他生产经营者</w:t>
            </w:r>
            <w:r>
              <w:rPr>
                <w:rFonts w:hint="eastAsia" w:ascii="仿宋" w:hAnsi="仿宋" w:eastAsia="仿宋" w:cs="仿宋"/>
                <w:color w:val="000000" w:themeColor="text1"/>
                <w:sz w:val="24"/>
                <w:szCs w:val="24"/>
                <w:highlight w:val="none"/>
                <w:lang w:eastAsia="zh-CN"/>
                <w14:textFill>
                  <w14:solidFill>
                    <w14:schemeClr w14:val="tx1"/>
                  </w14:solidFill>
                </w14:textFill>
              </w:rPr>
              <w:t>的行政检查</w:t>
            </w:r>
          </w:p>
        </w:tc>
        <w:tc>
          <w:tcPr>
            <w:tcW w:w="4009" w:type="dxa"/>
            <w:noWrap w:val="0"/>
            <w:vAlign w:val="center"/>
          </w:tcPr>
          <w:p w14:paraId="7D01164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1.《中华人民共和国环境保护法》（2014年修订）</w:t>
            </w:r>
          </w:p>
          <w:p w14:paraId="0D1C7BF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5295E3B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2.《中华人民共和国大气污染防治法》（2018年修正）</w:t>
            </w:r>
          </w:p>
          <w:p w14:paraId="5AD4A17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第二十九条 生态环境主管部门及其环境执法机构和其他负有大气环境保护监督管理职责的部门，有权通过现场检查监测、自动监测、遥感监测、远红外摄像等方式，对排放大气污染物的企业事业单位和其他生产经营者进行监督检查。被检查者应当如实反映情况，提供必要的资料。实施检查的部门、机构及其工作人员应当为被检查者保守商业秘密。</w:t>
            </w:r>
          </w:p>
          <w:p w14:paraId="49F6472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3.《湖南省环境保护条例》（2024年修正）</w:t>
            </w:r>
          </w:p>
          <w:p w14:paraId="22EC142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一条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29CECA2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被检查者应当配合检查，如实反映情况，提供必要的资料。</w:t>
            </w:r>
          </w:p>
          <w:p w14:paraId="2B10061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4.《湖南省大气污染防治条例》（2020年修正）</w:t>
            </w:r>
          </w:p>
          <w:p w14:paraId="4A331FA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第三十五条　县级以上人民政府生态环境主管部门及其委托的环境监察机构和其他负有大气环境保护监督管理职责的主管部门，应当加强对排污单位排放大气污染物情况的监督检查，将监督检查结果作为环境信用管理、排污许可管理、建设项目环保审批等环境管理的重要依据，并向社会公布。</w:t>
            </w:r>
          </w:p>
          <w:p w14:paraId="6FAB8F0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5.《湖南省重污染天气防治若干规定》（2024年1月1日施行）</w:t>
            </w:r>
          </w:p>
          <w:p w14:paraId="61D4793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第一条第二款 县级以上人民政府生态环境主管部门对重污染天气防治实施统一监督管理，县级以上人民政府其他有关部门在各自职责范围内对重污染天气防治实施监督管理。</w:t>
            </w:r>
          </w:p>
          <w:p w14:paraId="3D58ED7A">
            <w:pPr>
              <w:keepNext w:val="0"/>
              <w:keepLines w:val="0"/>
              <w:widowControl w:val="0"/>
              <w:numPr>
                <w:ilvl w:val="0"/>
                <w:numId w:val="1"/>
              </w:numPr>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《湖南省秸秆综合利用若干规定》（2025年3月1日起施行）</w:t>
            </w:r>
          </w:p>
          <w:p w14:paraId="56A7C911">
            <w:pPr>
              <w:keepNext w:val="0"/>
              <w:keepLines w:val="0"/>
              <w:widowControl w:val="0"/>
              <w:numPr>
                <w:ilvl w:val="0"/>
                <w:numId w:val="0"/>
              </w:numPr>
              <w:suppressLineNumbers w:val="0"/>
              <w:spacing w:before="0" w:beforeLines="0" w:beforeAutospacing="0" w:after="0" w:afterLines="0" w:afterAutospacing="0"/>
              <w:ind w:leftChars="0" w:right="0" w:right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第三条第三款 县级以上人民政府农业农村主管部门负责本行政区域内秸秆综合利用的指导和监督管理工作，生态环境主管部门负责本行政区域内露天焚烧秸秆的指导和监督管理工作。</w:t>
            </w:r>
          </w:p>
        </w:tc>
        <w:tc>
          <w:tcPr>
            <w:tcW w:w="1573" w:type="dxa"/>
            <w:noWrap w:val="0"/>
            <w:vAlign w:val="center"/>
          </w:tcPr>
          <w:p w14:paraId="7B71210B">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4F6C970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78440992">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vertAlign w:val="baseli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排放大气污染物的企业和其他生产经营者</w:t>
            </w:r>
          </w:p>
        </w:tc>
        <w:tc>
          <w:tcPr>
            <w:tcW w:w="1370" w:type="dxa"/>
            <w:noWrap w:val="0"/>
            <w:vAlign w:val="center"/>
          </w:tcPr>
          <w:p w14:paraId="6E7B58DE">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相关法律法规和排污许可规定事项监督检查</w:t>
            </w:r>
          </w:p>
        </w:tc>
        <w:tc>
          <w:tcPr>
            <w:tcW w:w="898" w:type="dxa"/>
            <w:noWrap w:val="0"/>
            <w:vAlign w:val="center"/>
          </w:tcPr>
          <w:p w14:paraId="3EF7F26E">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799102D9">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涉企年度行政检查计划执行</w:t>
            </w:r>
          </w:p>
        </w:tc>
        <w:tc>
          <w:tcPr>
            <w:tcW w:w="1406" w:type="dxa"/>
            <w:noWrap w:val="0"/>
            <w:vAlign w:val="center"/>
          </w:tcPr>
          <w:p w14:paraId="2E28BC66">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p>
        </w:tc>
      </w:tr>
      <w:tr w14:paraId="0CFA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jc w:val="center"/>
        </w:trPr>
        <w:tc>
          <w:tcPr>
            <w:tcW w:w="788" w:type="dxa"/>
            <w:noWrap w:val="0"/>
            <w:vAlign w:val="center"/>
          </w:tcPr>
          <w:p w14:paraId="335476D7">
            <w:pPr>
              <w:keepNext w:val="0"/>
              <w:keepLines w:val="0"/>
              <w:pageBreakBefore w:val="0"/>
              <w:widowControl w:val="0"/>
              <w:kinsoku/>
              <w:wordWrap/>
              <w:autoSpaceDE/>
              <w:autoSpaceDN/>
              <w:bidi w:val="0"/>
              <w:adjustRightInd w:val="0"/>
              <w:snapToGrid w:val="0"/>
              <w:spacing w:line="240" w:lineRule="auto"/>
              <w:jc w:val="center"/>
              <w:textAlignment w:val="center"/>
              <w:rPr>
                <w:rFonts w:hint="default"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7</w:t>
            </w:r>
          </w:p>
        </w:tc>
        <w:tc>
          <w:tcPr>
            <w:tcW w:w="1723" w:type="dxa"/>
            <w:noWrap w:val="0"/>
            <w:vAlign w:val="center"/>
          </w:tcPr>
          <w:p w14:paraId="66F1CA92">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对排放噪声的单位或者场所的行政检查</w:t>
            </w:r>
          </w:p>
        </w:tc>
        <w:tc>
          <w:tcPr>
            <w:tcW w:w="4009" w:type="dxa"/>
            <w:noWrap w:val="0"/>
            <w:vAlign w:val="center"/>
          </w:tcPr>
          <w:p w14:paraId="4D46A57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1.《中华人民共和国环境保护法》（2014年修订）</w:t>
            </w:r>
          </w:p>
          <w:p w14:paraId="451D968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325DF01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2.《中华人民共和国噪声污染防治法》（2022年6月5日施行）</w:t>
            </w:r>
          </w:p>
          <w:p w14:paraId="25F4CFC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第二十九条 生态环境主管部门和其他负有噪声污染防治监督管理职责的部门，有权对排放噪声的单位或者场所进行现场检查。被检查者应当如实反映情况，提供必要的资料，不得拒绝或者阻挠。实施检查的部门、人员对现场检查中知悉的商业秘密应当保密。</w:t>
            </w:r>
          </w:p>
          <w:p w14:paraId="6B2F959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3.《湖南省环境保护条例》（2024年修正）</w:t>
            </w:r>
          </w:p>
          <w:p w14:paraId="2F970A3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一条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62A8577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被检查者应当配合检查，如实反映情况，提供必要的资料。</w:t>
            </w:r>
          </w:p>
        </w:tc>
        <w:tc>
          <w:tcPr>
            <w:tcW w:w="1573" w:type="dxa"/>
            <w:noWrap w:val="0"/>
            <w:vAlign w:val="center"/>
          </w:tcPr>
          <w:p w14:paraId="1474A266">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3D324B2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542D829D">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vertAlign w:val="baseline"/>
                <w:lang w:val="en-US"/>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排放噪声的企业和其他经营者</w:t>
            </w:r>
          </w:p>
        </w:tc>
        <w:tc>
          <w:tcPr>
            <w:tcW w:w="1370" w:type="dxa"/>
            <w:noWrap w:val="0"/>
            <w:vAlign w:val="center"/>
          </w:tcPr>
          <w:p w14:paraId="102A1436">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1.是否按要求将噪声污染防治纳入排污许可的监督检查</w:t>
            </w:r>
          </w:p>
          <w:p w14:paraId="5D086CE7">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2.提供噪声排放限值及自行检测要求的监测报告等</w:t>
            </w:r>
          </w:p>
        </w:tc>
        <w:tc>
          <w:tcPr>
            <w:tcW w:w="898" w:type="dxa"/>
            <w:noWrap w:val="0"/>
            <w:vAlign w:val="center"/>
          </w:tcPr>
          <w:p w14:paraId="33D3E57C">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22FBED34">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涉企年度行政检查计划执行</w:t>
            </w:r>
          </w:p>
        </w:tc>
        <w:tc>
          <w:tcPr>
            <w:tcW w:w="1406" w:type="dxa"/>
            <w:noWrap w:val="0"/>
            <w:vAlign w:val="center"/>
          </w:tcPr>
          <w:p w14:paraId="41C76019">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p>
        </w:tc>
      </w:tr>
      <w:tr w14:paraId="4F74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atLeast"/>
          <w:jc w:val="center"/>
        </w:trPr>
        <w:tc>
          <w:tcPr>
            <w:tcW w:w="788" w:type="dxa"/>
            <w:noWrap w:val="0"/>
            <w:vAlign w:val="center"/>
          </w:tcPr>
          <w:p w14:paraId="0C940AAB">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8</w:t>
            </w:r>
          </w:p>
        </w:tc>
        <w:tc>
          <w:tcPr>
            <w:tcW w:w="1723" w:type="dxa"/>
            <w:noWrap w:val="0"/>
            <w:vAlign w:val="center"/>
          </w:tcPr>
          <w:p w14:paraId="02405705">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对机动车排放检验机构的排放检验情况的</w:t>
            </w:r>
            <w:r>
              <w:rPr>
                <w:rFonts w:hint="eastAsia" w:ascii="仿宋" w:hAnsi="仿宋" w:eastAsia="仿宋" w:cs="仿宋"/>
                <w:color w:val="000000" w:themeColor="text1"/>
                <w:sz w:val="24"/>
                <w:szCs w:val="24"/>
                <w:highlight w:val="none"/>
                <w:lang w:eastAsia="zh-CN"/>
                <w14:textFill>
                  <w14:solidFill>
                    <w14:schemeClr w14:val="tx1"/>
                  </w14:solidFill>
                </w14:textFill>
              </w:rPr>
              <w:t>行政检查</w:t>
            </w:r>
          </w:p>
        </w:tc>
        <w:tc>
          <w:tcPr>
            <w:tcW w:w="4009" w:type="dxa"/>
            <w:noWrap w:val="0"/>
            <w:vAlign w:val="center"/>
          </w:tcPr>
          <w:p w14:paraId="779FA9D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1.《中华人民共和国大气污染防治法》（2018年修正）</w:t>
            </w:r>
          </w:p>
          <w:p w14:paraId="71F820F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第五十四条　机动车排放检验机构应当依法通过计量认证，使用经依法检定合格的机动车排放检验设备，按照国务院生态环境主管部门制定的规范，对机动车进行排放检验，并与生态环境主管部门联网，实现检验数据实时共享。机动车排放检验机构及其负责人对检验数据的真实性和准确性负责。</w:t>
            </w:r>
          </w:p>
          <w:p w14:paraId="5577E52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shd w:val="clear" w:color="auto" w:fill="FFFFFF"/>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生态环境主管部门和认证认可监督管理部门应当对机动车排放检验机构的排放检验情况进行监督检查。</w:t>
            </w:r>
          </w:p>
        </w:tc>
        <w:tc>
          <w:tcPr>
            <w:tcW w:w="1573" w:type="dxa"/>
            <w:noWrap w:val="0"/>
            <w:vAlign w:val="center"/>
          </w:tcPr>
          <w:p w14:paraId="6DA1513A">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03719D8B">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08405536">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机动车排放检验机构（</w:t>
            </w:r>
            <w:r>
              <w:rPr>
                <w:rFonts w:hint="eastAsia" w:ascii="仿宋" w:hAnsi="仿宋" w:eastAsia="仿宋" w:cs="仿宋"/>
                <w:color w:val="000000" w:themeColor="text1"/>
                <w:sz w:val="24"/>
                <w:szCs w:val="24"/>
                <w:highlight w:val="none"/>
                <w:lang w:val="en-US" w:eastAsia="zh-CN"/>
                <w14:textFill>
                  <w14:solidFill>
                    <w14:schemeClr w14:val="tx1"/>
                  </w14:solidFill>
                </w14:textFill>
              </w:rPr>
              <w:t>经营主体</w:t>
            </w:r>
            <w:r>
              <w:rPr>
                <w:rFonts w:hint="eastAsia" w:ascii="仿宋" w:hAnsi="仿宋" w:eastAsia="仿宋" w:cs="仿宋"/>
                <w:color w:val="000000" w:themeColor="text1"/>
                <w:sz w:val="24"/>
                <w:szCs w:val="24"/>
                <w:highlight w:val="none"/>
                <w:lang w:eastAsia="zh-CN"/>
                <w14:textFill>
                  <w14:solidFill>
                    <w14:schemeClr w14:val="tx1"/>
                  </w14:solidFill>
                </w14:textFill>
              </w:rPr>
              <w:t>）</w:t>
            </w:r>
          </w:p>
        </w:tc>
        <w:tc>
          <w:tcPr>
            <w:tcW w:w="1370" w:type="dxa"/>
            <w:noWrap w:val="0"/>
            <w:vAlign w:val="center"/>
          </w:tcPr>
          <w:p w14:paraId="35F544A9">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对是否未经检验(监测)直接出具检验(监测)数据和结果的监督检查</w:t>
            </w:r>
          </w:p>
          <w:p w14:paraId="3CEB03DF">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对是否篡改、伪造、编造原始数据出具检验(监测)数据和结果的监督检查</w:t>
            </w:r>
          </w:p>
          <w:p w14:paraId="0873DD7F">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对检验(监测)结果是否与原始数据不一致且无法溯源的监督检查</w:t>
            </w:r>
          </w:p>
          <w:p w14:paraId="27A3E9DA">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对是否出具虚假数据、结果或报告，是否严格执行国家、省相关规范的监督检查</w:t>
            </w:r>
          </w:p>
        </w:tc>
        <w:tc>
          <w:tcPr>
            <w:tcW w:w="898" w:type="dxa"/>
            <w:noWrap w:val="0"/>
            <w:vAlign w:val="center"/>
          </w:tcPr>
          <w:p w14:paraId="303B114B">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现场检查、非现场检查相结合</w:t>
            </w:r>
          </w:p>
        </w:tc>
        <w:tc>
          <w:tcPr>
            <w:tcW w:w="1386" w:type="dxa"/>
            <w:noWrap w:val="0"/>
            <w:vAlign w:val="center"/>
          </w:tcPr>
          <w:p w14:paraId="46B4461F">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涉企年度行政检查计划执行</w:t>
            </w:r>
          </w:p>
        </w:tc>
        <w:tc>
          <w:tcPr>
            <w:tcW w:w="1406" w:type="dxa"/>
            <w:noWrap w:val="0"/>
            <w:vAlign w:val="center"/>
          </w:tcPr>
          <w:p w14:paraId="6F618480">
            <w:pPr>
              <w:keepNext w:val="0"/>
              <w:keepLines w:val="0"/>
              <w:pageBreakBefore w:val="0"/>
              <w:widowControl w:val="0"/>
              <w:kinsoku/>
              <w:wordWrap/>
              <w:autoSpaceDE/>
              <w:autoSpaceDN/>
              <w:bidi w:val="0"/>
              <w:adjustRightInd w:val="0"/>
              <w:snapToGrid w:val="0"/>
              <w:spacing w:line="320" w:lineRule="exact"/>
              <w:jc w:val="left"/>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pPr>
          </w:p>
        </w:tc>
      </w:tr>
      <w:tr w14:paraId="1017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atLeast"/>
          <w:jc w:val="center"/>
        </w:trPr>
        <w:tc>
          <w:tcPr>
            <w:tcW w:w="788" w:type="dxa"/>
            <w:noWrap w:val="0"/>
            <w:vAlign w:val="center"/>
          </w:tcPr>
          <w:p w14:paraId="6767444E">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9</w:t>
            </w:r>
          </w:p>
        </w:tc>
        <w:tc>
          <w:tcPr>
            <w:tcW w:w="1723" w:type="dxa"/>
            <w:noWrap w:val="0"/>
            <w:vAlign w:val="center"/>
          </w:tcPr>
          <w:p w14:paraId="4B706A10">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对机动车维修单位维修情况的</w:t>
            </w:r>
            <w:r>
              <w:rPr>
                <w:rFonts w:hint="eastAsia" w:ascii="仿宋" w:hAnsi="仿宋" w:eastAsia="仿宋" w:cs="仿宋"/>
                <w:color w:val="000000" w:themeColor="text1"/>
                <w:sz w:val="24"/>
                <w:szCs w:val="24"/>
                <w:highlight w:val="none"/>
                <w:lang w:eastAsia="zh-CN"/>
                <w14:textFill>
                  <w14:solidFill>
                    <w14:schemeClr w14:val="tx1"/>
                  </w14:solidFill>
                </w14:textFill>
              </w:rPr>
              <w:t>行政检查</w:t>
            </w:r>
          </w:p>
        </w:tc>
        <w:tc>
          <w:tcPr>
            <w:tcW w:w="4009" w:type="dxa"/>
            <w:noWrap w:val="0"/>
            <w:vAlign w:val="center"/>
          </w:tcPr>
          <w:p w14:paraId="123A84C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1.《中华人民共和国大气污染防治法》（2018年修正）</w:t>
            </w:r>
          </w:p>
          <w:p w14:paraId="6F9AD4A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第五十五条 机动车生产、进口企业应当向社会公布其生产、进口机动车车型的排放检验信息、污染控制技术信息和有关维修技术信息。</w:t>
            </w:r>
          </w:p>
          <w:p w14:paraId="4598CCB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机动车维修单位应当按照防治大气污染的要求和国家有关技术规范对在用机动车进行维修，使其达到规定的排放标准。交通运输、生态环境主管部门应当依法加强监督管理。</w:t>
            </w:r>
          </w:p>
          <w:p w14:paraId="560486A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shd w:val="clear" w:color="auto" w:fill="FFFFFF"/>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禁止机动车所有人以临时更换机动车污染控制装置等弄虚作假的方式通过机动车排放检验。禁止机动车维修单位提供该类维修服务。禁止破坏机动车车载排放诊断系统。</w:t>
            </w:r>
          </w:p>
        </w:tc>
        <w:tc>
          <w:tcPr>
            <w:tcW w:w="1573" w:type="dxa"/>
            <w:noWrap w:val="0"/>
            <w:vAlign w:val="center"/>
          </w:tcPr>
          <w:p w14:paraId="71C29BA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1F7787F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2C71B69F">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机动车维修</w:t>
            </w:r>
            <w:r>
              <w:rPr>
                <w:rFonts w:hint="eastAsia" w:ascii="仿宋" w:hAnsi="仿宋" w:eastAsia="仿宋" w:cs="仿宋"/>
                <w:color w:val="000000" w:themeColor="text1"/>
                <w:sz w:val="24"/>
                <w:szCs w:val="24"/>
                <w:highlight w:val="none"/>
                <w:lang w:val="en-US" w:eastAsia="zh-CN"/>
                <w14:textFill>
                  <w14:solidFill>
                    <w14:schemeClr w14:val="tx1"/>
                  </w14:solidFill>
                </w14:textFill>
              </w:rPr>
              <w:t>企业</w:t>
            </w:r>
          </w:p>
        </w:tc>
        <w:tc>
          <w:tcPr>
            <w:tcW w:w="1370" w:type="dxa"/>
            <w:noWrap w:val="0"/>
            <w:vAlign w:val="center"/>
          </w:tcPr>
          <w:p w14:paraId="317AF64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是否按照大气污染防治的要求和国家有关技术规范对在用机动车进行维修，使其达到规定的排放标准</w:t>
            </w:r>
          </w:p>
        </w:tc>
        <w:tc>
          <w:tcPr>
            <w:tcW w:w="898" w:type="dxa"/>
            <w:noWrap w:val="0"/>
            <w:vAlign w:val="center"/>
          </w:tcPr>
          <w:p w14:paraId="28321E7F">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现场检查、非现场检查相结合</w:t>
            </w:r>
          </w:p>
        </w:tc>
        <w:tc>
          <w:tcPr>
            <w:tcW w:w="1386" w:type="dxa"/>
            <w:noWrap w:val="0"/>
            <w:vAlign w:val="center"/>
          </w:tcPr>
          <w:p w14:paraId="79BBA8B2">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4799D616">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14:textFill>
                  <w14:solidFill>
                    <w14:schemeClr w14:val="tx1"/>
                  </w14:solidFill>
                </w14:textFill>
              </w:rPr>
            </w:pPr>
          </w:p>
        </w:tc>
      </w:tr>
      <w:tr w14:paraId="1BDF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1" w:hRule="atLeast"/>
          <w:jc w:val="center"/>
        </w:trPr>
        <w:tc>
          <w:tcPr>
            <w:tcW w:w="788" w:type="dxa"/>
            <w:noWrap w:val="0"/>
            <w:vAlign w:val="center"/>
          </w:tcPr>
          <w:p w14:paraId="7E4CC31C">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10</w:t>
            </w:r>
          </w:p>
        </w:tc>
        <w:tc>
          <w:tcPr>
            <w:tcW w:w="1723" w:type="dxa"/>
            <w:noWrap w:val="0"/>
            <w:vAlign w:val="center"/>
          </w:tcPr>
          <w:p w14:paraId="2ACFE21D">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对非道路移动机械的大气污染物排放状况的</w:t>
            </w:r>
            <w:r>
              <w:rPr>
                <w:rFonts w:hint="eastAsia" w:ascii="仿宋" w:hAnsi="仿宋" w:eastAsia="仿宋" w:cs="仿宋"/>
                <w:color w:val="000000" w:themeColor="text1"/>
                <w:sz w:val="24"/>
                <w:szCs w:val="24"/>
                <w:highlight w:val="none"/>
                <w:lang w:eastAsia="zh-CN"/>
                <w14:textFill>
                  <w14:solidFill>
                    <w14:schemeClr w14:val="tx1"/>
                  </w14:solidFill>
                </w14:textFill>
              </w:rPr>
              <w:t>行政检查</w:t>
            </w:r>
          </w:p>
        </w:tc>
        <w:tc>
          <w:tcPr>
            <w:tcW w:w="4009" w:type="dxa"/>
            <w:noWrap w:val="0"/>
            <w:vAlign w:val="center"/>
          </w:tcPr>
          <w:p w14:paraId="4FB8384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1.《中华人民共和国大气污染防治法》（2018年修正）</w:t>
            </w:r>
          </w:p>
          <w:p w14:paraId="157F341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第五十六条 生态环境主管部门应当会同交通运输、住房城乡建设、农业行政、水行政等有关部门对非道路移动机械的大气污染物排放状况进行监督检查，排放不合格的，不得使用。</w:t>
            </w:r>
          </w:p>
          <w:p w14:paraId="75B2342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2.《湖南省大气污染防治条例》（2020年修正）</w:t>
            </w:r>
          </w:p>
          <w:p w14:paraId="620AEB9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第三条第一款 县级以上人民政府生态环境主管部门对大气污染防治实施统一监督管理。</w:t>
            </w:r>
          </w:p>
          <w:p w14:paraId="54BCC76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shd w:val="clear" w:color="auto" w:fill="FFFFFF"/>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第二十一条 鼓励、支持节能环保型非道路移动机械的推广使用，逐步淘汰高油耗、高排放的非道路移动机械。县级以上人民政府交通运输、住房和城乡建设、农业农村、林业、水利等主管部门按照各自职责对非道路移动机械大气污染物排放实施监督管理。</w:t>
            </w:r>
          </w:p>
        </w:tc>
        <w:tc>
          <w:tcPr>
            <w:tcW w:w="1573" w:type="dxa"/>
            <w:noWrap w:val="0"/>
            <w:vAlign w:val="center"/>
          </w:tcPr>
          <w:p w14:paraId="68E5F26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5FCF3C3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0C311235">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在用非道路移动机械</w:t>
            </w:r>
          </w:p>
        </w:tc>
        <w:tc>
          <w:tcPr>
            <w:tcW w:w="1370" w:type="dxa"/>
            <w:noWrap w:val="0"/>
            <w:vAlign w:val="center"/>
          </w:tcPr>
          <w:p w14:paraId="627A8B78">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对在用非道路移动机械的大气污染物排放状况进行监督检查，排放不合格的，不得使用</w:t>
            </w:r>
          </w:p>
        </w:tc>
        <w:tc>
          <w:tcPr>
            <w:tcW w:w="898" w:type="dxa"/>
            <w:noWrap w:val="0"/>
            <w:vAlign w:val="center"/>
          </w:tcPr>
          <w:p w14:paraId="0EB8D78E">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现场检查</w:t>
            </w:r>
          </w:p>
        </w:tc>
        <w:tc>
          <w:tcPr>
            <w:tcW w:w="1386" w:type="dxa"/>
            <w:noWrap w:val="0"/>
            <w:vAlign w:val="center"/>
          </w:tcPr>
          <w:p w14:paraId="56E2183D">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632EA73B">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14:textFill>
                  <w14:solidFill>
                    <w14:schemeClr w14:val="tx1"/>
                  </w14:solidFill>
                </w14:textFill>
              </w:rPr>
            </w:pPr>
          </w:p>
        </w:tc>
      </w:tr>
      <w:tr w14:paraId="3B76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788" w:type="dxa"/>
            <w:noWrap w:val="0"/>
            <w:vAlign w:val="center"/>
          </w:tcPr>
          <w:p w14:paraId="7B91B5E9">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11</w:t>
            </w:r>
          </w:p>
        </w:tc>
        <w:tc>
          <w:tcPr>
            <w:tcW w:w="1723" w:type="dxa"/>
            <w:noWrap w:val="0"/>
            <w:vAlign w:val="center"/>
          </w:tcPr>
          <w:p w14:paraId="74DDA79D">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对从事可能造成土壤污染活动的企业事业单位和其他生产经营者进行的</w:t>
            </w:r>
            <w:r>
              <w:rPr>
                <w:rFonts w:hint="eastAsia" w:ascii="仿宋" w:hAnsi="仿宋" w:eastAsia="仿宋" w:cs="仿宋"/>
                <w:color w:val="000000" w:themeColor="text1"/>
                <w:kern w:val="0"/>
                <w:sz w:val="24"/>
                <w:szCs w:val="24"/>
                <w:highlight w:val="none"/>
                <w:lang w:eastAsia="zh-CN"/>
                <w14:textFill>
                  <w14:solidFill>
                    <w14:schemeClr w14:val="tx1"/>
                  </w14:solidFill>
                </w14:textFill>
              </w:rPr>
              <w:t>行政</w:t>
            </w:r>
            <w:r>
              <w:rPr>
                <w:rFonts w:hint="eastAsia" w:ascii="仿宋" w:hAnsi="仿宋" w:eastAsia="仿宋" w:cs="仿宋"/>
                <w:color w:val="000000" w:themeColor="text1"/>
                <w:kern w:val="0"/>
                <w:sz w:val="24"/>
                <w:szCs w:val="24"/>
                <w:highlight w:val="none"/>
                <w14:textFill>
                  <w14:solidFill>
                    <w14:schemeClr w14:val="tx1"/>
                  </w14:solidFill>
                </w14:textFill>
              </w:rPr>
              <w:t>检查</w:t>
            </w:r>
          </w:p>
        </w:tc>
        <w:tc>
          <w:tcPr>
            <w:tcW w:w="4009" w:type="dxa"/>
            <w:noWrap w:val="0"/>
            <w:vAlign w:val="center"/>
          </w:tcPr>
          <w:p w14:paraId="143D799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1.《中华人民共和国土壤污染防治法》（2019年1月1日施行）</w:t>
            </w:r>
          </w:p>
          <w:p w14:paraId="674BCC7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第七十七条 生态环境主管部门及其环境执法机构和其他负有土壤污染防治监督管理职责的部门，有权对从事可能造成土壤污染活动的企业事业单位和其他生产经营者进行现场检查、取样，要求被检查者提供有关资料、就有关问题作出说明。</w:t>
            </w:r>
          </w:p>
          <w:p w14:paraId="4D4F0A3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被检查者应当配合检查工作，如实反映情况，提供必要的资料。</w:t>
            </w:r>
          </w:p>
          <w:p w14:paraId="75A4022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实施现场检查的部门、机构及其工作人员应当为被检查者保守商业秘密。</w:t>
            </w:r>
          </w:p>
          <w:p w14:paraId="060278A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第七十九条　地方人民政府安全生产监督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14:paraId="1FEA4CE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2.《工矿用地土壤环境管理办法（试行）》（生态环境部令第3号，2018年8月1日施行）</w:t>
            </w:r>
          </w:p>
          <w:p w14:paraId="2FBFCC2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第十七条 县级以上生态环境主管部门有权对本行政区域内的重点单位进行现场检查。被检查单位应当予以配合，如实反映情况，提供必要的资料。实施现场检查的部门、机构及其工作人员应当为被检查单位保守商业秘密。</w:t>
            </w:r>
          </w:p>
          <w:p w14:paraId="01B091D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3.《农用地土壤环境管理办法（试行）》（环境保护部、农业部令第46号，2017年11月1日施行）</w:t>
            </w:r>
          </w:p>
          <w:p w14:paraId="40BEF12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第二十三条第一款 县级以上地方环境保护主管部门应当对农用地土壤污染治理与修复的环境保护措施落实情况进行监督检查。</w:t>
            </w:r>
          </w:p>
          <w:p w14:paraId="1E516D1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第二十七条 县级以上环境保护主管部门和县级以上农业主管部门，有权对本行政区域内的农用地土壤污染防治相关活动进行现场检查。被检查单位应当予以配合，如实反映情况，提供必要的资料。实施现场检查的部门、机构及其工作人员应当为被检查单位保守商业秘密。</w:t>
            </w:r>
          </w:p>
          <w:p w14:paraId="788FC74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4.《污染地块土壤环境管理办法（试行）》（环境保护部令第42号，2017年7月1日施行）</w:t>
            </w:r>
          </w:p>
          <w:p w14:paraId="39D0BD1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第二十九条 县级以上环境保护主管部门及其委托的环境监察机构，有权对本行政区域内的疑似污染地块和污染地块相关活动进行现场检查。被检查单位应当予以配合，如实反映情况，提供必要的资料。实施现场检查的部门、机构及其工作人员应当为被检查单位保守商业秘密。</w:t>
            </w:r>
          </w:p>
        </w:tc>
        <w:tc>
          <w:tcPr>
            <w:tcW w:w="1573" w:type="dxa"/>
            <w:noWrap w:val="0"/>
            <w:vAlign w:val="center"/>
          </w:tcPr>
          <w:p w14:paraId="2F8F2E16">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459F788A">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6EB5967E">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1.土壤污染重点监管单位</w:t>
            </w:r>
          </w:p>
          <w:p w14:paraId="227AB9D8">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2.安全利用类及严格管控类农用地</w:t>
            </w:r>
          </w:p>
          <w:p w14:paraId="0E55977A">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3.曾从事相关行业企业的疑似污染地块和污染地块</w:t>
            </w:r>
          </w:p>
        </w:tc>
        <w:tc>
          <w:tcPr>
            <w:tcW w:w="1370" w:type="dxa"/>
            <w:noWrap w:val="0"/>
            <w:vAlign w:val="center"/>
          </w:tcPr>
          <w:p w14:paraId="6D5290A8">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1.企业自行监测情况</w:t>
            </w:r>
          </w:p>
          <w:p w14:paraId="529A8FA7">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2.土壤污染隐患排查情况</w:t>
            </w:r>
          </w:p>
          <w:p w14:paraId="44AB0A95">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3.安全利用类和严格管控类农用地落实风险管控措施等情况</w:t>
            </w:r>
          </w:p>
          <w:p w14:paraId="2A130D85">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4.疑似污染地块和污染地块落实调查、风险</w:t>
            </w:r>
            <w:bookmarkStart w:id="0" w:name="_GoBack"/>
            <w:bookmarkEnd w:id="0"/>
            <w:r>
              <w:rPr>
                <w:rFonts w:hint="eastAsia" w:ascii="仿宋" w:hAnsi="仿宋" w:eastAsia="仿宋" w:cs="仿宋"/>
                <w:color w:val="000000" w:themeColor="text1"/>
                <w:sz w:val="24"/>
                <w:szCs w:val="24"/>
                <w:highlight w:val="none"/>
                <w:lang w:eastAsia="zh-CN"/>
                <w14:textFill>
                  <w14:solidFill>
                    <w14:schemeClr w14:val="tx1"/>
                  </w14:solidFill>
                </w14:textFill>
              </w:rPr>
              <w:t>评估、风险管控及修复措施等情况</w:t>
            </w:r>
          </w:p>
        </w:tc>
        <w:tc>
          <w:tcPr>
            <w:tcW w:w="898" w:type="dxa"/>
            <w:noWrap w:val="0"/>
            <w:vAlign w:val="center"/>
          </w:tcPr>
          <w:p w14:paraId="02AC306C">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现场检查、非现场检查相结合</w:t>
            </w:r>
          </w:p>
        </w:tc>
        <w:tc>
          <w:tcPr>
            <w:tcW w:w="1386" w:type="dxa"/>
            <w:noWrap w:val="0"/>
            <w:vAlign w:val="center"/>
          </w:tcPr>
          <w:p w14:paraId="23C22170">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2D97620C">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pPr>
          </w:p>
        </w:tc>
      </w:tr>
      <w:tr w14:paraId="61C0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2" w:hRule="atLeast"/>
          <w:jc w:val="center"/>
        </w:trPr>
        <w:tc>
          <w:tcPr>
            <w:tcW w:w="788" w:type="dxa"/>
            <w:noWrap w:val="0"/>
            <w:vAlign w:val="center"/>
          </w:tcPr>
          <w:p w14:paraId="27203472">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12</w:t>
            </w:r>
          </w:p>
        </w:tc>
        <w:tc>
          <w:tcPr>
            <w:tcW w:w="1723" w:type="dxa"/>
            <w:noWrap w:val="0"/>
            <w:vAlign w:val="center"/>
          </w:tcPr>
          <w:p w14:paraId="3B449546">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b w:val="0"/>
                <w:bCs w:val="0"/>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kern w:val="0"/>
                <w:sz w:val="24"/>
                <w:szCs w:val="24"/>
                <w:highlight w:val="none"/>
                <w14:textFill>
                  <w14:solidFill>
                    <w14:schemeClr w14:val="tx1"/>
                  </w14:solidFill>
                </w14:textFill>
              </w:rPr>
              <w:t>对产生、收集、贮存、</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转移（</w:t>
            </w:r>
            <w:r>
              <w:rPr>
                <w:rFonts w:hint="eastAsia" w:ascii="仿宋" w:hAnsi="仿宋" w:eastAsia="仿宋" w:cs="仿宋"/>
                <w:b w:val="0"/>
                <w:bCs w:val="0"/>
                <w:color w:val="000000" w:themeColor="text1"/>
                <w:kern w:val="0"/>
                <w:sz w:val="24"/>
                <w:szCs w:val="24"/>
                <w:highlight w:val="none"/>
                <w14:textFill>
                  <w14:solidFill>
                    <w14:schemeClr w14:val="tx1"/>
                  </w14:solidFill>
                </w14:textFill>
              </w:rPr>
              <w:t>运输</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w:t>
            </w:r>
            <w:r>
              <w:rPr>
                <w:rFonts w:hint="eastAsia" w:ascii="仿宋" w:hAnsi="仿宋" w:eastAsia="仿宋" w:cs="仿宋"/>
                <w:b w:val="0"/>
                <w:bCs w:val="0"/>
                <w:color w:val="000000" w:themeColor="text1"/>
                <w:kern w:val="0"/>
                <w:sz w:val="24"/>
                <w:szCs w:val="24"/>
                <w:highlight w:val="none"/>
                <w14:textFill>
                  <w14:solidFill>
                    <w14:schemeClr w14:val="tx1"/>
                  </w14:solidFill>
                </w14:textFill>
              </w:rPr>
              <w:t>、利用、处置固体废物、危险废物的单位和其他生产经营者的</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行政</w:t>
            </w:r>
            <w:r>
              <w:rPr>
                <w:rFonts w:hint="eastAsia" w:ascii="仿宋" w:hAnsi="仿宋" w:eastAsia="仿宋" w:cs="仿宋"/>
                <w:b w:val="0"/>
                <w:bCs w:val="0"/>
                <w:color w:val="000000" w:themeColor="text1"/>
                <w:kern w:val="0"/>
                <w:sz w:val="24"/>
                <w:szCs w:val="24"/>
                <w:highlight w:val="none"/>
                <w14:textFill>
                  <w14:solidFill>
                    <w14:schemeClr w14:val="tx1"/>
                  </w14:solidFill>
                </w14:textFill>
              </w:rPr>
              <w:t>检查</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（涉及行政许可检查除外）</w:t>
            </w:r>
          </w:p>
        </w:tc>
        <w:tc>
          <w:tcPr>
            <w:tcW w:w="4009" w:type="dxa"/>
            <w:noWrap w:val="0"/>
            <w:vAlign w:val="center"/>
          </w:tcPr>
          <w:p w14:paraId="384A82E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1.《中华人民共和国固体废物污染环境防治法》（2020年修订）</w:t>
            </w:r>
          </w:p>
          <w:p w14:paraId="4562D53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第二十六条 生态环境主管部门及其环境执法机构和其他负有固体废物污染环境防治监督管理职责的部门，在各自职责范围内有权对从事产生、收集、贮存、运输、利用、处置固体废物等活动的单位和其他生产经营者进行现场检查。被检查者应当如实反映情况，并提供必要的资料。</w:t>
            </w:r>
          </w:p>
          <w:p w14:paraId="094FBC1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实施现场检查，可以采取现场监测、采集样品、查阅或者复制与固体废物污染环境防治相关的资料等措施。检查人员进行现场检查，应当出示证件。对现场检查中知悉的商业秘密应当保密。</w:t>
            </w:r>
          </w:p>
          <w:p w14:paraId="390A9CA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第八十五条 产生、收集、贮存、运输、利用、处置危险废物的单位，应当依法制定意外事故的防范措施和应急预案，并向所在地生态环境主管部门和其他负有固体废物污染环境防治监督管理职责的部门备案；生态环境主管部门和其他负有固体废物污染环境防治监督管理职责的部门应当进行检查。</w:t>
            </w:r>
          </w:p>
          <w:p w14:paraId="791D9F2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2.《危险化学品安全管理条例》（2013年修订）</w:t>
            </w:r>
          </w:p>
          <w:p w14:paraId="4E66902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第六条第一款第（四）项 对危险化学品的生产、储存、使用、经营、运输实施安全监督管理的有关部门（以下统称负有危险化学品安全监督管理职责的部门），依照下列规定履行职责：（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14:paraId="41EDF0C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3.《危险废物经营许可证管理办法》（2016年修订）</w:t>
            </w:r>
          </w:p>
          <w:p w14:paraId="766B5EC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第十七条 县级以上人民政府环境保护主管部门应当通过书面核查和实地检查等方式，加强对危险废物经营单位的监督检查，并将监督检查情况和处理结果予以记录，由监督检查人员签字后归档。</w:t>
            </w:r>
          </w:p>
          <w:p w14:paraId="28B85CB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公众有权查阅县级以上人民政府环境保护主管部门的监督检查记录。</w:t>
            </w:r>
          </w:p>
          <w:p w14:paraId="480005A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县级以上人民政府环境保护主管部门发现危险废物经营单位在经营活动中有不符合原发证条件的情形的，应当责令其限期整改。</w:t>
            </w:r>
          </w:p>
          <w:p w14:paraId="5A718AD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4.《危险废物转移管理办法》（生态环境部令第23号，2022年1月1日施行）</w:t>
            </w:r>
          </w:p>
          <w:p w14:paraId="54EBC4B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第四条 生态环境主管部门依法对危险废物转移污染环境防治工作以及危险废物转移联单运行实施监督管理，查处危险废物污染环境违法行为。</w:t>
            </w:r>
          </w:p>
          <w:p w14:paraId="69D73A6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w:t>
            </w:r>
          </w:p>
          <w:p w14:paraId="7F14771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5.《湖南省实施 &lt;中华人民共和国固体废物污染环境防治法&gt;办法》（2022年修正）</w:t>
            </w:r>
          </w:p>
          <w:p w14:paraId="3769113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第三条　生态环境主管部门对本行政区域内固体废物污染环境防治实施统一监督管理。</w:t>
            </w:r>
          </w:p>
        </w:tc>
        <w:tc>
          <w:tcPr>
            <w:tcW w:w="1573" w:type="dxa"/>
            <w:noWrap w:val="0"/>
            <w:vAlign w:val="center"/>
          </w:tcPr>
          <w:p w14:paraId="306D0DD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3A15546E">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4C4BA81A">
            <w:pPr>
              <w:keepNext w:val="0"/>
              <w:keepLines w:val="0"/>
              <w:pageBreakBefore w:val="0"/>
              <w:widowControl w:val="0"/>
              <w:kinsoku/>
              <w:wordWrap/>
              <w:overflowPunct w:val="0"/>
              <w:topLinePunct/>
              <w:autoSpaceDE/>
              <w:autoSpaceDN/>
              <w:bidi w:val="0"/>
              <w:adjustRightInd w:val="0"/>
              <w:snapToGrid w:val="0"/>
              <w:spacing w:line="240" w:lineRule="auto"/>
              <w:jc w:val="left"/>
              <w:rPr>
                <w:rFonts w:hint="eastAsia" w:ascii="仿宋" w:hAnsi="仿宋" w:eastAsia="仿宋" w:cs="仿宋"/>
                <w:b w:val="0"/>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kern w:val="0"/>
                <w:sz w:val="24"/>
                <w:szCs w:val="24"/>
                <w:highlight w:val="none"/>
                <w14:textFill>
                  <w14:solidFill>
                    <w14:schemeClr w14:val="tx1"/>
                  </w14:solidFill>
                </w14:textFill>
              </w:rPr>
              <w:t>危险废物</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产生、</w:t>
            </w:r>
            <w:r>
              <w:rPr>
                <w:rFonts w:hint="eastAsia" w:ascii="仿宋" w:hAnsi="仿宋" w:eastAsia="仿宋" w:cs="仿宋"/>
                <w:b w:val="0"/>
                <w:bCs w:val="0"/>
                <w:color w:val="000000" w:themeColor="text1"/>
                <w:kern w:val="0"/>
                <w:sz w:val="24"/>
                <w:szCs w:val="24"/>
                <w:highlight w:val="none"/>
                <w14:textFill>
                  <w14:solidFill>
                    <w14:schemeClr w14:val="tx1"/>
                  </w14:solidFill>
                </w14:textFill>
              </w:rPr>
              <w:t>收集、贮存、</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转移（</w:t>
            </w:r>
            <w:r>
              <w:rPr>
                <w:rFonts w:hint="eastAsia" w:ascii="仿宋" w:hAnsi="仿宋" w:eastAsia="仿宋" w:cs="仿宋"/>
                <w:b w:val="0"/>
                <w:bCs w:val="0"/>
                <w:color w:val="000000" w:themeColor="text1"/>
                <w:kern w:val="0"/>
                <w:sz w:val="24"/>
                <w:szCs w:val="24"/>
                <w:highlight w:val="none"/>
                <w14:textFill>
                  <w14:solidFill>
                    <w14:schemeClr w14:val="tx1"/>
                  </w14:solidFill>
                </w14:textFill>
              </w:rPr>
              <w:t>运输</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w:t>
            </w:r>
            <w:r>
              <w:rPr>
                <w:rFonts w:hint="eastAsia" w:ascii="仿宋" w:hAnsi="仿宋" w:eastAsia="仿宋" w:cs="仿宋"/>
                <w:b w:val="0"/>
                <w:bCs w:val="0"/>
                <w:color w:val="000000" w:themeColor="text1"/>
                <w:kern w:val="0"/>
                <w:sz w:val="24"/>
                <w:szCs w:val="24"/>
                <w:highlight w:val="none"/>
                <w14:textFill>
                  <w14:solidFill>
                    <w14:schemeClr w14:val="tx1"/>
                  </w14:solidFill>
                </w14:textFill>
              </w:rPr>
              <w:t>、利用、处置固体废物</w:t>
            </w:r>
            <w:r>
              <w:rPr>
                <w:rFonts w:hint="eastAsia" w:ascii="仿宋" w:hAnsi="仿宋" w:eastAsia="仿宋" w:cs="仿宋"/>
                <w:b w:val="0"/>
                <w:bCs w:val="0"/>
                <w:color w:val="000000" w:themeColor="text1"/>
                <w:kern w:val="0"/>
                <w:sz w:val="24"/>
                <w:szCs w:val="24"/>
                <w:highlight w:val="none"/>
                <w:lang w:eastAsia="zh-CN"/>
                <w14:textFill>
                  <w14:solidFill>
                    <w14:schemeClr w14:val="tx1"/>
                  </w14:solidFill>
                </w14:textFill>
              </w:rPr>
              <w:t>、</w:t>
            </w:r>
            <w:r>
              <w:rPr>
                <w:rFonts w:hint="eastAsia" w:ascii="仿宋" w:hAnsi="仿宋" w:eastAsia="仿宋" w:cs="仿宋"/>
                <w:b w:val="0"/>
                <w:bCs w:val="0"/>
                <w:color w:val="000000" w:themeColor="text1"/>
                <w:kern w:val="0"/>
                <w:sz w:val="24"/>
                <w:szCs w:val="24"/>
                <w:highlight w:val="none"/>
                <w14:textFill>
                  <w14:solidFill>
                    <w14:schemeClr w14:val="tx1"/>
                  </w14:solidFill>
                </w14:textFill>
              </w:rPr>
              <w:t>危险废物</w:t>
            </w:r>
            <w:r>
              <w:rPr>
                <w:rFonts w:hint="eastAsia" w:ascii="仿宋" w:hAnsi="仿宋" w:eastAsia="仿宋" w:cs="仿宋"/>
                <w:b w:val="0"/>
                <w:bCs w:val="0"/>
                <w:color w:val="000000" w:themeColor="text1"/>
                <w:kern w:val="0"/>
                <w:sz w:val="24"/>
                <w:szCs w:val="24"/>
                <w:highlight w:val="none"/>
                <w:lang w:val="en-US" w:eastAsia="zh-CN"/>
                <w14:textFill>
                  <w14:solidFill>
                    <w14:schemeClr w14:val="tx1"/>
                  </w14:solidFill>
                </w14:textFill>
              </w:rPr>
              <w:t>的企业和其他经营者</w:t>
            </w:r>
          </w:p>
        </w:tc>
        <w:tc>
          <w:tcPr>
            <w:tcW w:w="1370" w:type="dxa"/>
            <w:noWrap w:val="0"/>
            <w:vAlign w:val="center"/>
          </w:tcPr>
          <w:p w14:paraId="25A9301A">
            <w:pPr>
              <w:keepNext w:val="0"/>
              <w:keepLines w:val="0"/>
              <w:pageBreakBefore w:val="0"/>
              <w:widowControl w:val="0"/>
              <w:tabs>
                <w:tab w:val="center" w:pos="4153"/>
                <w:tab w:val="right" w:pos="8306"/>
              </w:tabs>
              <w:kinsoku/>
              <w:wordWrap/>
              <w:autoSpaceDE/>
              <w:autoSpaceDN/>
              <w:bidi w:val="0"/>
              <w:adjustRightInd w:val="0"/>
              <w:snapToGrid w:val="0"/>
              <w:spacing w:line="240" w:lineRule="auto"/>
              <w:ind w:firstLine="0" w:firstLineChars="0"/>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eastAsia="zh-CN"/>
                <w14:textFill>
                  <w14:solidFill>
                    <w14:schemeClr w14:val="tx1"/>
                  </w14:solidFill>
                </w14:textFill>
              </w:rPr>
              <w:t>1.对</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危险废物产生单位、经营单位开展规范化环境管理情况的监督检查</w:t>
            </w:r>
          </w:p>
          <w:p w14:paraId="08AFBDB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b w:val="0"/>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eastAsia="zh-CN"/>
                <w14:textFill>
                  <w14:solidFill>
                    <w14:schemeClr w14:val="tx1"/>
                  </w14:solidFill>
                </w14:textFill>
              </w:rPr>
              <w:t>2.</w:t>
            </w:r>
            <w:r>
              <w:rPr>
                <w:rFonts w:hint="eastAsia" w:ascii="仿宋" w:hAnsi="仿宋" w:eastAsia="仿宋" w:cs="仿宋"/>
                <w:b w:val="0"/>
                <w:bCs w:val="0"/>
                <w:color w:val="000000" w:themeColor="text1"/>
                <w:kern w:val="0"/>
                <w:sz w:val="24"/>
                <w:szCs w:val="24"/>
                <w:highlight w:val="none"/>
                <w14:textFill>
                  <w14:solidFill>
                    <w14:schemeClr w14:val="tx1"/>
                  </w14:solidFill>
                </w14:textFill>
              </w:rPr>
              <w:t>危险废物</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收集、贮存、利用、处置等活动环境监管</w:t>
            </w:r>
          </w:p>
        </w:tc>
        <w:tc>
          <w:tcPr>
            <w:tcW w:w="898" w:type="dxa"/>
            <w:noWrap w:val="0"/>
            <w:vAlign w:val="center"/>
          </w:tcPr>
          <w:p w14:paraId="3D13037C">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b w:val="0"/>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现场检查、非现场检查相结合</w:t>
            </w:r>
          </w:p>
        </w:tc>
        <w:tc>
          <w:tcPr>
            <w:tcW w:w="1386" w:type="dxa"/>
            <w:noWrap w:val="0"/>
            <w:vAlign w:val="center"/>
          </w:tcPr>
          <w:p w14:paraId="2C6D1F59">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b w:val="0"/>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23E33119">
            <w:pPr>
              <w:keepNext w:val="0"/>
              <w:keepLines w:val="0"/>
              <w:pageBreakBefore w:val="0"/>
              <w:widowControl w:val="0"/>
              <w:kinsoku/>
              <w:wordWrap/>
              <w:overflowPunct/>
              <w:topLinePunct w:val="0"/>
              <w:autoSpaceDE/>
              <w:autoSpaceDN/>
              <w:bidi w:val="0"/>
              <w:adjustRightInd w:val="0"/>
              <w:snapToGrid w:val="0"/>
              <w:spacing w:line="300" w:lineRule="exact"/>
              <w:jc w:val="left"/>
              <w:textAlignment w:val="baseline"/>
              <w:rPr>
                <w:rFonts w:hint="eastAsia" w:ascii="仿宋" w:hAnsi="仿宋" w:eastAsia="仿宋" w:cs="仿宋"/>
                <w:b w:val="0"/>
                <w:bCs w:val="0"/>
                <w:color w:val="000000" w:themeColor="text1"/>
                <w:sz w:val="24"/>
                <w:szCs w:val="24"/>
                <w:highlight w:val="none"/>
                <w:vertAlign w:val="baseline"/>
                <w14:textFill>
                  <w14:solidFill>
                    <w14:schemeClr w14:val="tx1"/>
                  </w14:solidFill>
                </w14:textFill>
              </w:rPr>
            </w:pPr>
          </w:p>
        </w:tc>
      </w:tr>
      <w:tr w14:paraId="5479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atLeast"/>
          <w:jc w:val="center"/>
        </w:trPr>
        <w:tc>
          <w:tcPr>
            <w:tcW w:w="788" w:type="dxa"/>
            <w:noWrap w:val="0"/>
            <w:vAlign w:val="center"/>
          </w:tcPr>
          <w:p w14:paraId="7CD36F42">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13</w:t>
            </w:r>
          </w:p>
        </w:tc>
        <w:tc>
          <w:tcPr>
            <w:tcW w:w="1723" w:type="dxa"/>
            <w:noWrap w:val="0"/>
            <w:vAlign w:val="center"/>
          </w:tcPr>
          <w:p w14:paraId="4DBE229D">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b w:val="0"/>
                <w:bCs w:val="0"/>
                <w:color w:val="000000" w:themeColor="text1"/>
                <w:kern w:val="0"/>
                <w:sz w:val="24"/>
                <w:szCs w:val="24"/>
                <w:highlight w:val="none"/>
                <w14:textFill>
                  <w14:solidFill>
                    <w14:schemeClr w14:val="tx1"/>
                  </w14:solidFill>
                </w14:textFill>
              </w:rPr>
            </w:pPr>
            <w:r>
              <w:rPr>
                <w:rFonts w:hint="eastAsia" w:ascii="仿宋" w:hAnsi="仿宋" w:eastAsia="仿宋" w:cs="仿宋"/>
                <w:b w:val="0"/>
                <w:bCs w:val="0"/>
                <w:color w:val="000000" w:themeColor="text1"/>
                <w:sz w:val="24"/>
                <w:szCs w:val="24"/>
                <w:highlight w:val="none"/>
                <w14:textFill>
                  <w14:solidFill>
                    <w14:schemeClr w14:val="tx1"/>
                  </w14:solidFill>
                </w14:textFill>
              </w:rPr>
              <w:t>对医疗卫生机构和医疗废物集中处置单位环境污染防治工作的</w:t>
            </w: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行政</w:t>
            </w:r>
            <w:r>
              <w:rPr>
                <w:rFonts w:hint="eastAsia" w:ascii="仿宋" w:hAnsi="仿宋" w:eastAsia="仿宋" w:cs="仿宋"/>
                <w:b w:val="0"/>
                <w:bCs w:val="0"/>
                <w:color w:val="000000" w:themeColor="text1"/>
                <w:sz w:val="24"/>
                <w:szCs w:val="24"/>
                <w:highlight w:val="none"/>
                <w14:textFill>
                  <w14:solidFill>
                    <w14:schemeClr w14:val="tx1"/>
                  </w14:solidFill>
                </w14:textFill>
              </w:rPr>
              <w:t>检查</w:t>
            </w:r>
          </w:p>
        </w:tc>
        <w:tc>
          <w:tcPr>
            <w:tcW w:w="4009" w:type="dxa"/>
            <w:noWrap w:val="0"/>
            <w:vAlign w:val="center"/>
          </w:tcPr>
          <w:p w14:paraId="4D3D732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1.《中华人民共和国固体废物污染环境防治法》（2020年修订）</w:t>
            </w:r>
          </w:p>
          <w:p w14:paraId="3CBAC9F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第九十条　医疗废物按照国家危险废物名录管理。县级以上地方人民政府应当加强医疗废物集中处置能力建设。</w:t>
            </w:r>
          </w:p>
          <w:p w14:paraId="2D20FCD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县级以上人民政府卫生健康、生态环境等主管部门应当在各自职责范围内加强对医疗废物收集、贮存、运输、处置的监督管理，防止危害公众健康、污染环境。</w:t>
            </w:r>
          </w:p>
          <w:p w14:paraId="00ECB60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医疗卫生机构应当依法分类收集本单位产生的医疗废物，交由医疗废物集中处置单位处置。医疗废物集中处置单位应当及时收集、运输和处置医疗废物。</w:t>
            </w:r>
          </w:p>
          <w:p w14:paraId="68FC88D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医疗卫生机构和医疗废物集中处置单位，应当采取有效措施，防止医疗废物流失、泄漏、渗漏、扩散。</w:t>
            </w:r>
          </w:p>
          <w:p w14:paraId="7F7546C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2.《医疗废物管理条例》（2011年修订）</w:t>
            </w:r>
          </w:p>
          <w:p w14:paraId="211E4FF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 w:val="0"/>
                <w:bCs w:val="0"/>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第三十六条 县级以上地方人民政府环境保护行政主管部门，应当对医疗卫生机构和医疗废物集中处置单位从事医疗废物收集、运送、贮存、处置中的环境污染防治工作进行定期监督检查或者不定期的抽查。</w:t>
            </w:r>
          </w:p>
        </w:tc>
        <w:tc>
          <w:tcPr>
            <w:tcW w:w="1573" w:type="dxa"/>
            <w:noWrap w:val="0"/>
            <w:vAlign w:val="center"/>
          </w:tcPr>
          <w:p w14:paraId="0E14AA1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683EC7E4">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6D268D34">
            <w:pPr>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line="240" w:lineRule="auto"/>
              <w:jc w:val="left"/>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b w:val="0"/>
                <w:bCs w:val="0"/>
                <w:color w:val="000000" w:themeColor="text1"/>
                <w:kern w:val="2"/>
                <w:sz w:val="24"/>
                <w:szCs w:val="24"/>
                <w:highlight w:val="none"/>
                <w:lang w:eastAsia="zh-CN"/>
                <w14:textFill>
                  <w14:solidFill>
                    <w14:schemeClr w14:val="tx1"/>
                  </w14:solidFill>
                </w14:textFill>
              </w:rPr>
              <w:t>医疗</w:t>
            </w:r>
            <w:r>
              <w:rPr>
                <w:rFonts w:hint="eastAsia" w:ascii="仿宋" w:hAnsi="仿宋" w:eastAsia="仿宋" w:cs="仿宋"/>
                <w:b w:val="0"/>
                <w:bCs w:val="0"/>
                <w:color w:val="000000" w:themeColor="text1"/>
                <w:kern w:val="2"/>
                <w:sz w:val="24"/>
                <w:szCs w:val="24"/>
                <w:highlight w:val="none"/>
                <w14:textFill>
                  <w14:solidFill>
                    <w14:schemeClr w14:val="tx1"/>
                  </w14:solidFill>
                </w14:textFill>
              </w:rPr>
              <w:t>废物</w:t>
            </w:r>
            <w:r>
              <w:rPr>
                <w:rFonts w:hint="eastAsia" w:ascii="仿宋" w:hAnsi="仿宋" w:eastAsia="仿宋" w:cs="仿宋"/>
                <w:b w:val="0"/>
                <w:bCs w:val="0"/>
                <w:color w:val="000000" w:themeColor="text1"/>
                <w:kern w:val="2"/>
                <w:sz w:val="24"/>
                <w:szCs w:val="24"/>
                <w:highlight w:val="none"/>
                <w:lang w:eastAsia="zh-CN"/>
                <w14:textFill>
                  <w14:solidFill>
                    <w14:schemeClr w14:val="tx1"/>
                  </w14:solidFill>
                </w14:textFill>
              </w:rPr>
              <w:t>产生（</w:t>
            </w:r>
            <w:r>
              <w:rPr>
                <w:rFonts w:hint="eastAsia" w:ascii="仿宋" w:hAnsi="仿宋" w:eastAsia="仿宋" w:cs="仿宋"/>
                <w:b w:val="0"/>
                <w:bCs w:val="0"/>
                <w:color w:val="000000" w:themeColor="text1"/>
                <w:kern w:val="2"/>
                <w:sz w:val="24"/>
                <w:szCs w:val="24"/>
                <w:highlight w:val="none"/>
                <w:lang w:val="en-US" w:eastAsia="zh-CN"/>
                <w14:textFill>
                  <w14:solidFill>
                    <w14:schemeClr w14:val="tx1"/>
                  </w14:solidFill>
                </w14:textFill>
              </w:rPr>
              <w:t>私立医院</w:t>
            </w:r>
            <w:r>
              <w:rPr>
                <w:rFonts w:hint="eastAsia" w:ascii="仿宋" w:hAnsi="仿宋" w:eastAsia="仿宋" w:cs="仿宋"/>
                <w:b w:val="0"/>
                <w:bCs w:val="0"/>
                <w:color w:val="000000" w:themeColor="text1"/>
                <w:kern w:val="2"/>
                <w:sz w:val="24"/>
                <w:szCs w:val="24"/>
                <w:highlight w:val="none"/>
                <w:lang w:eastAsia="zh-CN"/>
                <w14:textFill>
                  <w14:solidFill>
                    <w14:schemeClr w14:val="tx1"/>
                  </w14:solidFill>
                </w14:textFill>
              </w:rPr>
              <w:t>）、</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医疗废物集中处置</w:t>
            </w:r>
            <w:r>
              <w:rPr>
                <w:rFonts w:hint="eastAsia" w:ascii="仿宋" w:hAnsi="仿宋" w:eastAsia="仿宋" w:cs="仿宋"/>
                <w:b w:val="0"/>
                <w:bCs w:val="0"/>
                <w:color w:val="000000" w:themeColor="text1"/>
                <w:kern w:val="2"/>
                <w:sz w:val="24"/>
                <w:szCs w:val="24"/>
                <w:highlight w:val="none"/>
                <w:lang w:val="en-US" w:eastAsia="zh-CN"/>
                <w14:textFill>
                  <w14:solidFill>
                    <w14:schemeClr w14:val="tx1"/>
                  </w14:solidFill>
                </w14:textFill>
              </w:rPr>
              <w:t>的企业</w:t>
            </w:r>
          </w:p>
        </w:tc>
        <w:tc>
          <w:tcPr>
            <w:tcW w:w="1370" w:type="dxa"/>
            <w:noWrap w:val="0"/>
            <w:vAlign w:val="center"/>
          </w:tcPr>
          <w:p w14:paraId="366E4AF6">
            <w:pPr>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line="240" w:lineRule="auto"/>
              <w:jc w:val="left"/>
              <w:rPr>
                <w:rFonts w:hint="eastAsia" w:ascii="仿宋" w:hAnsi="仿宋" w:eastAsia="仿宋" w:cs="仿宋"/>
                <w:b w:val="0"/>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对医疗废物收集、贮存、利用、处置等活动环境监管检查</w:t>
            </w:r>
          </w:p>
        </w:tc>
        <w:tc>
          <w:tcPr>
            <w:tcW w:w="898" w:type="dxa"/>
            <w:noWrap w:val="0"/>
            <w:vAlign w:val="center"/>
          </w:tcPr>
          <w:p w14:paraId="30558C72">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b w:val="0"/>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现场检查、非现场检查相结合</w:t>
            </w:r>
          </w:p>
        </w:tc>
        <w:tc>
          <w:tcPr>
            <w:tcW w:w="1386" w:type="dxa"/>
            <w:noWrap w:val="0"/>
            <w:vAlign w:val="center"/>
          </w:tcPr>
          <w:p w14:paraId="5C499DD2">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b w:val="0"/>
                <w:bCs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527AC558">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b w:val="0"/>
                <w:bCs w:val="0"/>
                <w:color w:val="000000" w:themeColor="text1"/>
                <w:sz w:val="24"/>
                <w:szCs w:val="24"/>
                <w:highlight w:val="none"/>
                <w:vertAlign w:val="baseline"/>
                <w14:textFill>
                  <w14:solidFill>
                    <w14:schemeClr w14:val="tx1"/>
                  </w14:solidFill>
                </w14:textFill>
              </w:rPr>
            </w:pPr>
          </w:p>
        </w:tc>
      </w:tr>
      <w:tr w14:paraId="06E5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39C465E6">
            <w:pPr>
              <w:keepNext w:val="0"/>
              <w:keepLines w:val="0"/>
              <w:pageBreakBefore w:val="0"/>
              <w:widowControl w:val="0"/>
              <w:tabs>
                <w:tab w:val="left" w:pos="0"/>
              </w:tabs>
              <w:kinsoku/>
              <w:wordWrap/>
              <w:overflowPunct w:val="0"/>
              <w:topLinePunct/>
              <w:autoSpaceDE/>
              <w:autoSpaceDN/>
              <w:bidi w:val="0"/>
              <w:adjustRightInd w:val="0"/>
              <w:snapToGrid w:val="0"/>
              <w:spacing w:line="240" w:lineRule="auto"/>
              <w:jc w:val="center"/>
              <w:rPr>
                <w:rFonts w:hint="default" w:ascii="仿宋" w:hAnsi="仿宋" w:eastAsia="仿宋" w:cs="仿宋"/>
                <w:strike w:val="0"/>
                <w:d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strike w:val="0"/>
                <w:dstrike w:val="0"/>
                <w:color w:val="000000" w:themeColor="text1"/>
                <w:sz w:val="24"/>
                <w:szCs w:val="24"/>
                <w:highlight w:val="none"/>
                <w:lang w:val="en-US" w:eastAsia="zh-CN"/>
                <w14:textFill>
                  <w14:solidFill>
                    <w14:schemeClr w14:val="tx1"/>
                  </w14:solidFill>
                </w14:textFill>
              </w:rPr>
              <w:t>14</w:t>
            </w:r>
          </w:p>
        </w:tc>
        <w:tc>
          <w:tcPr>
            <w:tcW w:w="1723" w:type="dxa"/>
            <w:noWrap w:val="0"/>
            <w:vAlign w:val="center"/>
          </w:tcPr>
          <w:p w14:paraId="639F1B75">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对报废机动车回收企业</w:t>
            </w:r>
            <w:r>
              <w:rPr>
                <w:rFonts w:hint="eastAsia" w:ascii="仿宋" w:hAnsi="仿宋" w:eastAsia="仿宋" w:cs="仿宋"/>
                <w:color w:val="000000" w:themeColor="text1"/>
                <w:sz w:val="24"/>
                <w:szCs w:val="24"/>
                <w:highlight w:val="none"/>
                <w:lang w:eastAsia="zh-CN"/>
                <w14:textFill>
                  <w14:solidFill>
                    <w14:schemeClr w14:val="tx1"/>
                  </w14:solidFill>
                </w14:textFill>
              </w:rPr>
              <w:t>的</w:t>
            </w:r>
            <w:r>
              <w:rPr>
                <w:rFonts w:hint="eastAsia" w:ascii="仿宋" w:hAnsi="仿宋" w:eastAsia="仿宋" w:cs="仿宋"/>
                <w:color w:val="000000" w:themeColor="text1"/>
                <w:sz w:val="24"/>
                <w:szCs w:val="24"/>
                <w:highlight w:val="none"/>
                <w14:textFill>
                  <w14:solidFill>
                    <w14:schemeClr w14:val="tx1"/>
                  </w14:solidFill>
                </w14:textFill>
              </w:rPr>
              <w:t>行政检查</w:t>
            </w:r>
          </w:p>
          <w:p w14:paraId="5A6EC683">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strike w:val="0"/>
                <w:dstrike w:val="0"/>
                <w:color w:val="000000" w:themeColor="text1"/>
                <w:sz w:val="24"/>
                <w:szCs w:val="24"/>
                <w:highlight w:val="none"/>
                <w14:textFill>
                  <w14:solidFill>
                    <w14:schemeClr w14:val="tx1"/>
                  </w14:solidFill>
                </w14:textFill>
              </w:rPr>
            </w:pPr>
          </w:p>
        </w:tc>
        <w:tc>
          <w:tcPr>
            <w:tcW w:w="4009" w:type="dxa"/>
            <w:noWrap w:val="0"/>
            <w:vAlign w:val="center"/>
          </w:tcPr>
          <w:p w14:paraId="072430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1.《报废机动车回收管理办法》（2019年6月1日施行）</w:t>
            </w:r>
          </w:p>
          <w:p w14:paraId="1F80905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第四条 国务院负责报废机动车回收管理的部门主管全国报废机动车回收（含拆解，下同）监督管理工作，国务院公安、生态环境、工业和信息化、交通运输、市场监督管理等部门在各自的职责范围内负责报废机动车回收有关的监督管理工作。</w:t>
            </w:r>
          </w:p>
          <w:p w14:paraId="134AB0A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w:t>
            </w:r>
          </w:p>
          <w:p w14:paraId="52262CC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第十六条 县级以上地方人民政府负责报废机动车回收管理的部门应当加强对报废机动车回收企业的监督检查，建立和完善以随机抽查为重点的日常监督检查制度，公布抽查事项目录，明确抽查的依据、频次、方式、内容和程序，随机抽取被检查企业，随机选派检查人员。抽查情况和查处结果应当及时向社会公布。</w:t>
            </w:r>
          </w:p>
          <w:p w14:paraId="59DC529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strike w:val="0"/>
                <w:dstrike w:val="0"/>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在监督检查中发现报废机动车回收企业不具备本办法规定的资质认定条件的，应当责令限期改正；拒不改正或者逾期未改正的，由原发证部门吊销资质认定书。</w:t>
            </w:r>
          </w:p>
        </w:tc>
        <w:tc>
          <w:tcPr>
            <w:tcW w:w="1573" w:type="dxa"/>
            <w:noWrap w:val="0"/>
            <w:vAlign w:val="center"/>
          </w:tcPr>
          <w:p w14:paraId="1FE42F3A">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strike w:val="0"/>
                <w:d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65F444C6">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b w:val="0"/>
                <w:bCs w:val="0"/>
                <w: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296F7950">
            <w:pPr>
              <w:widowControl w:val="0"/>
              <w:overflowPunct w:val="0"/>
              <w:topLinePunct/>
              <w:spacing w:line="330" w:lineRule="exact"/>
              <w:jc w:val="both"/>
              <w:rPr>
                <w:rFonts w:hint="eastAsia" w:ascii="仿宋" w:hAnsi="仿宋" w:eastAsia="仿宋" w:cs="仿宋"/>
                <w:strike w:val="0"/>
                <w:dstrike w:val="0"/>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报废机动车回收企业</w:t>
            </w:r>
          </w:p>
        </w:tc>
        <w:tc>
          <w:tcPr>
            <w:tcW w:w="1370" w:type="dxa"/>
            <w:noWrap w:val="0"/>
            <w:vAlign w:val="center"/>
          </w:tcPr>
          <w:p w14:paraId="1C2244E8">
            <w:pPr>
              <w:widowControl w:val="0"/>
              <w:overflowPunct w:val="0"/>
              <w:topLinePunct/>
              <w:spacing w:line="330" w:lineRule="exact"/>
              <w:jc w:val="both"/>
              <w:rPr>
                <w:rFonts w:hint="eastAsia" w:ascii="仿宋" w:hAnsi="仿宋" w:eastAsia="仿宋" w:cs="仿宋"/>
                <w:strike w:val="0"/>
                <w:dstrike w:val="0"/>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对</w:t>
            </w:r>
            <w:r>
              <w:rPr>
                <w:rFonts w:hint="eastAsia" w:ascii="仿宋" w:hAnsi="仿宋" w:eastAsia="仿宋" w:cs="仿宋"/>
                <w:color w:val="000000" w:themeColor="text1"/>
                <w:sz w:val="24"/>
                <w:szCs w:val="24"/>
                <w:highlight w:val="none"/>
                <w14:textFill>
                  <w14:solidFill>
                    <w14:schemeClr w14:val="tx1"/>
                  </w14:solidFill>
                </w14:textFill>
              </w:rPr>
              <w:t>报废机动车回收活动</w:t>
            </w:r>
            <w:r>
              <w:rPr>
                <w:rFonts w:hint="eastAsia" w:ascii="仿宋" w:hAnsi="仿宋" w:eastAsia="仿宋" w:cs="仿宋"/>
                <w:color w:val="000000" w:themeColor="text1"/>
                <w:sz w:val="24"/>
                <w:szCs w:val="24"/>
                <w:highlight w:val="none"/>
                <w:lang w:eastAsia="zh-CN"/>
                <w14:textFill>
                  <w14:solidFill>
                    <w14:schemeClr w14:val="tx1"/>
                  </w14:solidFill>
                </w14:textFill>
              </w:rPr>
              <w:t>中固体废物等污染防治情况</w:t>
            </w:r>
            <w:r>
              <w:rPr>
                <w:rFonts w:hint="eastAsia" w:ascii="仿宋" w:hAnsi="仿宋" w:eastAsia="仿宋" w:cs="仿宋"/>
                <w:color w:val="000000" w:themeColor="text1"/>
                <w:sz w:val="24"/>
                <w:szCs w:val="24"/>
                <w:highlight w:val="none"/>
                <w14:textFill>
                  <w14:solidFill>
                    <w14:schemeClr w14:val="tx1"/>
                  </w14:solidFill>
                </w14:textFill>
              </w:rPr>
              <w:t>实施监督管理</w:t>
            </w:r>
          </w:p>
        </w:tc>
        <w:tc>
          <w:tcPr>
            <w:tcW w:w="898" w:type="dxa"/>
            <w:noWrap w:val="0"/>
            <w:vAlign w:val="center"/>
          </w:tcPr>
          <w:p w14:paraId="221E04ED">
            <w:pPr>
              <w:widowControl w:val="0"/>
              <w:spacing w:line="320" w:lineRule="exact"/>
              <w:jc w:val="both"/>
              <w:textAlignment w:val="center"/>
              <w:rPr>
                <w:rFonts w:hint="eastAsia" w:ascii="仿宋" w:hAnsi="仿宋" w:eastAsia="仿宋" w:cs="仿宋"/>
                <w:strike w:val="0"/>
                <w:dstrike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现场检查、非现场检查相结合</w:t>
            </w:r>
          </w:p>
        </w:tc>
        <w:tc>
          <w:tcPr>
            <w:tcW w:w="1386" w:type="dxa"/>
            <w:noWrap w:val="0"/>
            <w:vAlign w:val="center"/>
          </w:tcPr>
          <w:p w14:paraId="5D6BC4EC">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strike w:val="0"/>
                <w:dstrike w:val="0"/>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570B7484">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bCs/>
                <w:strike w:val="0"/>
                <w:dstrike w:val="0"/>
                <w:color w:val="000000" w:themeColor="text1"/>
                <w:kern w:val="2"/>
                <w:sz w:val="24"/>
                <w:szCs w:val="24"/>
                <w:highlight w:val="none"/>
                <w:lang w:val="en-US" w:eastAsia="zh-CN" w:bidi="ar-SA"/>
                <w14:textFill>
                  <w14:solidFill>
                    <w14:schemeClr w14:val="tx1"/>
                  </w14:solidFill>
                </w14:textFill>
              </w:rPr>
            </w:pPr>
          </w:p>
        </w:tc>
      </w:tr>
      <w:tr w14:paraId="2958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7E0D5664">
            <w:pPr>
              <w:keepNext w:val="0"/>
              <w:keepLines w:val="0"/>
              <w:pageBreakBefore w:val="0"/>
              <w:widowControl w:val="0"/>
              <w:tabs>
                <w:tab w:val="left" w:pos="0"/>
              </w:tabs>
              <w:kinsoku/>
              <w:wordWrap/>
              <w:overflowPunct w:val="0"/>
              <w:topLinePunct/>
              <w:autoSpaceDE/>
              <w:autoSpaceDN/>
              <w:bidi w:val="0"/>
              <w:adjustRightInd w:val="0"/>
              <w:snapToGrid w:val="0"/>
              <w:spacing w:line="240" w:lineRule="auto"/>
              <w:jc w:val="center"/>
              <w:rPr>
                <w:rFonts w:hint="default" w:ascii="仿宋" w:hAnsi="仿宋" w:eastAsia="仿宋" w:cs="仿宋"/>
                <w:strike w:val="0"/>
                <w:d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15</w:t>
            </w:r>
          </w:p>
        </w:tc>
        <w:tc>
          <w:tcPr>
            <w:tcW w:w="1723" w:type="dxa"/>
            <w:noWrap w:val="0"/>
            <w:vAlign w:val="center"/>
          </w:tcPr>
          <w:p w14:paraId="71F4DFD1">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对尾矿库运营、管理单位的行政检查</w:t>
            </w:r>
          </w:p>
          <w:p w14:paraId="580D1E69">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strike w:val="0"/>
                <w:dstrike w:val="0"/>
                <w:color w:val="000000" w:themeColor="text1"/>
                <w:sz w:val="24"/>
                <w:szCs w:val="24"/>
                <w:highlight w:val="none"/>
                <w14:textFill>
                  <w14:solidFill>
                    <w14:schemeClr w14:val="tx1"/>
                  </w14:solidFill>
                </w14:textFill>
              </w:rPr>
            </w:pPr>
          </w:p>
        </w:tc>
        <w:tc>
          <w:tcPr>
            <w:tcW w:w="4009" w:type="dxa"/>
            <w:noWrap w:val="0"/>
            <w:vAlign w:val="center"/>
          </w:tcPr>
          <w:p w14:paraId="58042A5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1.《尾矿污染环境防治管理办法》（生态环境部令第26号，2022年7月1日施行）</w:t>
            </w:r>
          </w:p>
          <w:p w14:paraId="7D5102D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第二十一条 尾矿库运营、管理单位在环境监测等活动中发现尾矿库周边土壤和地下水存在污染物渗漏或者含量升高等污染迹象的，应当及时查明原因，采取措施及时阻止污染物泄漏，并按照国家有关规定开展环境调查与风险评估，根据调查与风险评估结果采取风险管控或者治理修复等措施。</w:t>
            </w:r>
          </w:p>
          <w:p w14:paraId="064B52E9">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strike w:val="0"/>
                <w:dstrike w:val="0"/>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生态环境主管部门在监督检查中发现尾矿库周边土壤和地下水存在污染物渗漏或者含量升高等污染迹象的，应当及时督促尾矿库运营、管理单位采取相应措施。</w:t>
            </w:r>
          </w:p>
        </w:tc>
        <w:tc>
          <w:tcPr>
            <w:tcW w:w="1573" w:type="dxa"/>
            <w:noWrap w:val="0"/>
            <w:vAlign w:val="center"/>
          </w:tcPr>
          <w:p w14:paraId="2D4A50B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strike w:val="0"/>
                <w:d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21650AC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b w:val="0"/>
                <w:bCs w:val="0"/>
                <w: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023F53E6">
            <w:pPr>
              <w:widowControl w:val="0"/>
              <w:overflowPunct w:val="0"/>
              <w:topLinePunct/>
              <w:spacing w:line="330" w:lineRule="exact"/>
              <w:jc w:val="both"/>
              <w:rPr>
                <w:rFonts w:hint="eastAsia" w:ascii="仿宋" w:hAnsi="仿宋" w:eastAsia="仿宋" w:cs="仿宋"/>
                <w:strike w:val="0"/>
                <w:dstrike w:val="0"/>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尾矿库运营、管理</w:t>
            </w:r>
            <w:r>
              <w:rPr>
                <w:rFonts w:hint="eastAsia" w:ascii="仿宋" w:hAnsi="仿宋" w:eastAsia="仿宋" w:cs="仿宋"/>
                <w:color w:val="000000" w:themeColor="text1"/>
                <w:sz w:val="24"/>
                <w:szCs w:val="24"/>
                <w:highlight w:val="none"/>
                <w:lang w:val="en-US" w:eastAsia="zh-CN"/>
                <w14:textFill>
                  <w14:solidFill>
                    <w14:schemeClr w14:val="tx1"/>
                  </w14:solidFill>
                </w14:textFill>
              </w:rPr>
              <w:t>的企业</w:t>
            </w:r>
          </w:p>
        </w:tc>
        <w:tc>
          <w:tcPr>
            <w:tcW w:w="1370" w:type="dxa"/>
            <w:noWrap w:val="0"/>
            <w:vAlign w:val="center"/>
          </w:tcPr>
          <w:p w14:paraId="47CFAFD0">
            <w:pPr>
              <w:widowControl w:val="0"/>
              <w:overflowPunct w:val="0"/>
              <w:topLinePunct/>
              <w:spacing w:line="330" w:lineRule="exact"/>
              <w:jc w:val="both"/>
              <w:rPr>
                <w:rFonts w:hint="eastAsia" w:ascii="仿宋" w:hAnsi="仿宋" w:eastAsia="仿宋" w:cs="仿宋"/>
                <w:strike w:val="0"/>
                <w:dstrike w:val="0"/>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对</w:t>
            </w:r>
            <w:r>
              <w:rPr>
                <w:rFonts w:hint="eastAsia" w:ascii="仿宋" w:hAnsi="仿宋" w:eastAsia="仿宋" w:cs="仿宋"/>
                <w:color w:val="000000" w:themeColor="text1"/>
                <w:sz w:val="24"/>
                <w:szCs w:val="24"/>
                <w:highlight w:val="none"/>
                <w14:textFill>
                  <w14:solidFill>
                    <w14:schemeClr w14:val="tx1"/>
                  </w14:solidFill>
                </w14:textFill>
              </w:rPr>
              <w:t>尾矿库</w:t>
            </w:r>
            <w:r>
              <w:rPr>
                <w:rFonts w:hint="eastAsia" w:ascii="仿宋" w:hAnsi="仿宋" w:eastAsia="仿宋" w:cs="仿宋"/>
                <w:color w:val="000000" w:themeColor="text1"/>
                <w:sz w:val="24"/>
                <w:szCs w:val="24"/>
                <w:highlight w:val="none"/>
                <w:lang w:eastAsia="zh-CN"/>
                <w14:textFill>
                  <w14:solidFill>
                    <w14:schemeClr w14:val="tx1"/>
                  </w14:solidFill>
                </w14:textFill>
              </w:rPr>
              <w:t>污染防治设施运行和环境风险管控等情况</w:t>
            </w:r>
            <w:r>
              <w:rPr>
                <w:rFonts w:hint="eastAsia" w:ascii="仿宋" w:hAnsi="仿宋" w:eastAsia="仿宋" w:cs="仿宋"/>
                <w:color w:val="000000" w:themeColor="text1"/>
                <w:sz w:val="24"/>
                <w:szCs w:val="24"/>
                <w:highlight w:val="none"/>
                <w14:textFill>
                  <w14:solidFill>
                    <w14:schemeClr w14:val="tx1"/>
                  </w14:solidFill>
                </w14:textFill>
              </w:rPr>
              <w:t>实施监督管理</w:t>
            </w:r>
          </w:p>
        </w:tc>
        <w:tc>
          <w:tcPr>
            <w:tcW w:w="898" w:type="dxa"/>
            <w:noWrap w:val="0"/>
            <w:vAlign w:val="center"/>
          </w:tcPr>
          <w:p w14:paraId="1C9322F1">
            <w:pPr>
              <w:widowControl w:val="0"/>
              <w:spacing w:line="320" w:lineRule="exact"/>
              <w:jc w:val="both"/>
              <w:textAlignment w:val="center"/>
              <w:rPr>
                <w:rFonts w:hint="eastAsia" w:ascii="仿宋" w:hAnsi="仿宋" w:eastAsia="仿宋" w:cs="仿宋"/>
                <w:strike w:val="0"/>
                <w:dstrike w:val="0"/>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eastAsia="zh-CN"/>
                <w14:textFill>
                  <w14:solidFill>
                    <w14:schemeClr w14:val="tx1"/>
                  </w14:solidFill>
                </w14:textFill>
              </w:rPr>
              <w:t>现场检查、非现场检查相结合</w:t>
            </w:r>
          </w:p>
        </w:tc>
        <w:tc>
          <w:tcPr>
            <w:tcW w:w="1386" w:type="dxa"/>
            <w:noWrap w:val="0"/>
            <w:vAlign w:val="center"/>
          </w:tcPr>
          <w:p w14:paraId="63B8133C">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strike w:val="0"/>
                <w:dstrike w:val="0"/>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6C89EDF1">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bCs/>
                <w:strike w:val="0"/>
                <w:dstrike w:val="0"/>
                <w:color w:val="000000" w:themeColor="text1"/>
                <w:kern w:val="2"/>
                <w:sz w:val="24"/>
                <w:szCs w:val="24"/>
                <w:highlight w:val="none"/>
                <w:lang w:val="en-US" w:eastAsia="zh-CN" w:bidi="ar-SA"/>
                <w14:textFill>
                  <w14:solidFill>
                    <w14:schemeClr w14:val="tx1"/>
                  </w14:solidFill>
                </w14:textFill>
              </w:rPr>
            </w:pPr>
          </w:p>
        </w:tc>
      </w:tr>
      <w:tr w14:paraId="5516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atLeast"/>
          <w:jc w:val="center"/>
        </w:trPr>
        <w:tc>
          <w:tcPr>
            <w:tcW w:w="788" w:type="dxa"/>
            <w:noWrap w:val="0"/>
            <w:vAlign w:val="center"/>
          </w:tcPr>
          <w:p w14:paraId="44151B0D">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16</w:t>
            </w:r>
          </w:p>
        </w:tc>
        <w:tc>
          <w:tcPr>
            <w:tcW w:w="1723" w:type="dxa"/>
            <w:noWrap w:val="0"/>
            <w:vAlign w:val="center"/>
          </w:tcPr>
          <w:p w14:paraId="449D9D25">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对排放电磁辐射污染的企业事业单位和其他生产经营者行政检查</w:t>
            </w:r>
          </w:p>
        </w:tc>
        <w:tc>
          <w:tcPr>
            <w:tcW w:w="4009" w:type="dxa"/>
            <w:noWrap w:val="0"/>
            <w:vAlign w:val="center"/>
          </w:tcPr>
          <w:p w14:paraId="039D803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1.《中华人民共和国环境保护法》（2014年修订）</w:t>
            </w:r>
          </w:p>
          <w:p w14:paraId="79E4052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47289CF5">
            <w:pPr>
              <w:keepNext w:val="0"/>
              <w:keepLines w:val="0"/>
              <w:pageBreakBefore w:val="0"/>
              <w:widowControl w:val="0"/>
              <w:tabs>
                <w:tab w:val="center" w:pos="4153"/>
                <w:tab w:val="right" w:pos="8306"/>
              </w:tabs>
              <w:kinsoku/>
              <w:wordWrap/>
              <w:autoSpaceDE/>
              <w:autoSpaceDN/>
              <w:bidi w:val="0"/>
              <w:adjustRightInd w:val="0"/>
              <w:snapToGrid w:val="0"/>
              <w:spacing w:line="24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第四十二条 排放污染物的企业事业单位和其他生产经营者，应当采取措施，防治在生产建设或者其他活动中产生的废气、废水、废渣、医疗废物、粉尘、恶臭气体、放射性物质以及噪声、振动、光辐射、电磁辐射等对环境的污染和危害。</w:t>
            </w:r>
          </w:p>
          <w:p w14:paraId="01E90A1F">
            <w:pPr>
              <w:keepNext w:val="0"/>
              <w:keepLines w:val="0"/>
              <w:pageBreakBefore w:val="0"/>
              <w:widowControl w:val="0"/>
              <w:tabs>
                <w:tab w:val="center" w:pos="4153"/>
                <w:tab w:val="right" w:pos="8306"/>
              </w:tabs>
              <w:kinsoku/>
              <w:wordWrap/>
              <w:autoSpaceDE/>
              <w:autoSpaceDN/>
              <w:bidi w:val="0"/>
              <w:adjustRightInd w:val="0"/>
              <w:snapToGrid w:val="0"/>
              <w:spacing w:line="24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排放污染物的企业事业单位，应当建立环境保护责任制度，明确单位负责人和相关人员的责任。</w:t>
            </w:r>
          </w:p>
          <w:p w14:paraId="068148B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重点排污单位应当按照国家有关规定和监测规范安装使用监测设备，保证监测设备正常运行，保存原始监测记录。</w:t>
            </w:r>
          </w:p>
        </w:tc>
        <w:tc>
          <w:tcPr>
            <w:tcW w:w="1573" w:type="dxa"/>
            <w:noWrap w:val="0"/>
            <w:vAlign w:val="center"/>
          </w:tcPr>
          <w:p w14:paraId="333F6E5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生态环境主管部门（省级、设区的市级）</w:t>
            </w:r>
          </w:p>
        </w:tc>
        <w:tc>
          <w:tcPr>
            <w:tcW w:w="1599" w:type="dxa"/>
            <w:noWrap w:val="0"/>
            <w:vAlign w:val="center"/>
          </w:tcPr>
          <w:p w14:paraId="4CBC37E4">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省生态环境厅核与辐射管理处、省辐射环境监督站、</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生态环境执法局</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各市（州）生态环境局及分局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03E706C9">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 w:eastAsia="zh-CN"/>
                <w14:textFill>
                  <w14:solidFill>
                    <w14:schemeClr w14:val="tx1"/>
                  </w14:solidFill>
                </w14:textFill>
              </w:rPr>
              <w:t>全省范围内排放电磁辐射污染的企业和其他生产经营者</w:t>
            </w:r>
          </w:p>
        </w:tc>
        <w:tc>
          <w:tcPr>
            <w:tcW w:w="1370" w:type="dxa"/>
            <w:noWrap w:val="0"/>
            <w:vAlign w:val="center"/>
          </w:tcPr>
          <w:p w14:paraId="45D610CE">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被检查单位法律法规执行情况、辐射安全和防护设施</w:t>
            </w:r>
            <w:r>
              <w:rPr>
                <w:rFonts w:hint="eastAsia" w:ascii="仿宋" w:hAnsi="仿宋" w:eastAsia="仿宋" w:cs="仿宋"/>
                <w:color w:val="000000" w:themeColor="text1"/>
                <w:kern w:val="0"/>
                <w:sz w:val="24"/>
                <w:szCs w:val="24"/>
                <w:highlight w:val="none"/>
                <w:lang w:eastAsia="zh-CN"/>
                <w14:textFill>
                  <w14:solidFill>
                    <w14:schemeClr w14:val="tx1"/>
                  </w14:solidFill>
                </w14:textFill>
              </w:rPr>
              <w:t>设备</w:t>
            </w:r>
            <w:r>
              <w:rPr>
                <w:rFonts w:hint="eastAsia" w:ascii="仿宋" w:hAnsi="仿宋" w:eastAsia="仿宋" w:cs="仿宋"/>
                <w:color w:val="000000" w:themeColor="text1"/>
                <w:sz w:val="24"/>
                <w:szCs w:val="24"/>
                <w:highlight w:val="none"/>
                <w:lang w:eastAsia="zh-CN"/>
                <w14:textFill>
                  <w14:solidFill>
                    <w14:schemeClr w14:val="tx1"/>
                  </w14:solidFill>
                </w14:textFill>
              </w:rPr>
              <w:t>运行与维护情况、辐射安全和防护制度与措施的建立和落实情况等。</w:t>
            </w:r>
          </w:p>
        </w:tc>
        <w:tc>
          <w:tcPr>
            <w:tcW w:w="898" w:type="dxa"/>
            <w:noWrap w:val="0"/>
            <w:vAlign w:val="center"/>
          </w:tcPr>
          <w:p w14:paraId="147BADD6">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现场检查、非现场检查相结合</w:t>
            </w:r>
          </w:p>
        </w:tc>
        <w:tc>
          <w:tcPr>
            <w:tcW w:w="1386" w:type="dxa"/>
            <w:noWrap w:val="0"/>
            <w:vAlign w:val="center"/>
          </w:tcPr>
          <w:p w14:paraId="0C9516A2">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按我厅每年</w:t>
            </w:r>
            <w:r>
              <w:rPr>
                <w:rFonts w:hint="eastAsia" w:ascii="仿宋" w:hAnsi="仿宋" w:eastAsia="仿宋" w:cs="仿宋"/>
                <w:color w:val="000000" w:themeColor="text1"/>
                <w:sz w:val="24"/>
                <w:szCs w:val="24"/>
                <w:highlight w:val="none"/>
                <w:lang w:val="en-US" w:eastAsia="zh-CN"/>
                <w14:textFill>
                  <w14:solidFill>
                    <w14:schemeClr w14:val="tx1"/>
                  </w14:solidFill>
                </w14:textFill>
              </w:rPr>
              <w:t>3月底前报经省司法厅备案审查的涉企年度行政检查计划执行</w:t>
            </w:r>
          </w:p>
        </w:tc>
        <w:tc>
          <w:tcPr>
            <w:tcW w:w="1406" w:type="dxa"/>
            <w:noWrap w:val="0"/>
            <w:vAlign w:val="center"/>
          </w:tcPr>
          <w:p w14:paraId="0EBACF39">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涉企行政检查以属地管辖为原则，有重大影响或者跨市级区域的，由省级生态环境部门负责。本系统各层级的检查对象名单，由省生态环境厅另行公布。</w:t>
            </w:r>
          </w:p>
        </w:tc>
      </w:tr>
      <w:tr w14:paraId="585F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jc w:val="center"/>
        </w:trPr>
        <w:tc>
          <w:tcPr>
            <w:tcW w:w="788" w:type="dxa"/>
            <w:noWrap w:val="0"/>
            <w:vAlign w:val="center"/>
          </w:tcPr>
          <w:p w14:paraId="55A29FB6">
            <w:pPr>
              <w:keepNext w:val="0"/>
              <w:keepLines w:val="0"/>
              <w:pageBreakBefore w:val="0"/>
              <w:widowControl w:val="0"/>
              <w:kinsoku/>
              <w:wordWrap/>
              <w:autoSpaceDE/>
              <w:autoSpaceDN/>
              <w:bidi w:val="0"/>
              <w:adjustRightInd w:val="0"/>
              <w:snapToGrid w:val="0"/>
              <w:spacing w:line="240" w:lineRule="auto"/>
              <w:jc w:val="center"/>
              <w:textAlignment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17</w:t>
            </w:r>
          </w:p>
        </w:tc>
        <w:tc>
          <w:tcPr>
            <w:tcW w:w="1723" w:type="dxa"/>
            <w:noWrap w:val="0"/>
            <w:vAlign w:val="center"/>
          </w:tcPr>
          <w:p w14:paraId="7DFF067A">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shd w:val="clear" w:color="auto" w:fill="FFFFFF"/>
                <w:lang w:val="en-US" w:eastAsia="zh-CN"/>
                <w14:textFill>
                  <w14:solidFill>
                    <w14:schemeClr w14:val="tx1"/>
                  </w14:solidFill>
                </w14:textFill>
              </w:rPr>
              <w:t>对排污许可事中事后的行政检查</w:t>
            </w:r>
          </w:p>
        </w:tc>
        <w:tc>
          <w:tcPr>
            <w:tcW w:w="4009" w:type="dxa"/>
            <w:noWrap w:val="0"/>
            <w:vAlign w:val="center"/>
          </w:tcPr>
          <w:p w14:paraId="3980235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1.《排污许可管理条例》（2021年3月1日施行）</w:t>
            </w:r>
          </w:p>
          <w:p w14:paraId="613F5C4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第二十五条第一款 生态环境主管部门应当加强对排污许可的事中事后监管，将排污许可执法检查纳入生态环境执法年度计划，根据排污许可管理类别、排污单位信用记录和生态环境管理需要等因素，合理确定检查频次和检查方式。</w:t>
            </w:r>
          </w:p>
          <w:p w14:paraId="5CD3E3A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pPr>
            <w:r>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t>2.《排污许可管理办法》（生态环境部令第32号，2024年7月1日施行）</w:t>
            </w:r>
          </w:p>
          <w:p w14:paraId="660D455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t>第四十条第一款  生态环境主管部门应当将排污许可证和排污登记信息纳入执法监管数据库，将排污许可执法检查纳入生态环境执法年度计划，加强对排污许可证记载事项的清单式执法检查。</w:t>
            </w:r>
          </w:p>
        </w:tc>
        <w:tc>
          <w:tcPr>
            <w:tcW w:w="1573" w:type="dxa"/>
            <w:noWrap w:val="0"/>
            <w:vAlign w:val="center"/>
          </w:tcPr>
          <w:p w14:paraId="7EEED79D">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2368263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3A2DC2E2">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纳入固定污染源排污许可重点或简化管理的排污企业</w:t>
            </w:r>
          </w:p>
        </w:tc>
        <w:tc>
          <w:tcPr>
            <w:tcW w:w="1370" w:type="dxa"/>
            <w:noWrap w:val="0"/>
            <w:vAlign w:val="center"/>
          </w:tcPr>
          <w:p w14:paraId="48B2108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排污许可证质量、排污许可证与现场一致性、排污许可要求执行情况监督检查</w:t>
            </w:r>
          </w:p>
        </w:tc>
        <w:tc>
          <w:tcPr>
            <w:tcW w:w="898" w:type="dxa"/>
            <w:noWrap w:val="0"/>
            <w:vAlign w:val="center"/>
          </w:tcPr>
          <w:p w14:paraId="3BCB05C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现场检查、非现场检查相结合</w:t>
            </w:r>
          </w:p>
        </w:tc>
        <w:tc>
          <w:tcPr>
            <w:tcW w:w="1386" w:type="dxa"/>
            <w:noWrap w:val="0"/>
            <w:vAlign w:val="center"/>
          </w:tcPr>
          <w:p w14:paraId="045E55C6">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0EDB6B91">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14:textFill>
                  <w14:solidFill>
                    <w14:schemeClr w14:val="tx1"/>
                  </w14:solidFill>
                </w14:textFill>
              </w:rPr>
            </w:pPr>
          </w:p>
        </w:tc>
      </w:tr>
      <w:tr w14:paraId="77F5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2" w:hRule="atLeast"/>
          <w:jc w:val="center"/>
        </w:trPr>
        <w:tc>
          <w:tcPr>
            <w:tcW w:w="788" w:type="dxa"/>
            <w:noWrap w:val="0"/>
            <w:vAlign w:val="center"/>
          </w:tcPr>
          <w:p w14:paraId="7C7704D7">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18</w:t>
            </w:r>
          </w:p>
        </w:tc>
        <w:tc>
          <w:tcPr>
            <w:tcW w:w="1723" w:type="dxa"/>
            <w:noWrap w:val="0"/>
            <w:vAlign w:val="center"/>
          </w:tcPr>
          <w:p w14:paraId="3D6EA88B">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对建设项目投入生产或者使用后所产生的环境影响的</w:t>
            </w:r>
            <w:r>
              <w:rPr>
                <w:rFonts w:hint="eastAsia" w:ascii="仿宋" w:hAnsi="仿宋" w:eastAsia="仿宋" w:cs="仿宋"/>
                <w:color w:val="000000" w:themeColor="text1"/>
                <w:sz w:val="24"/>
                <w:szCs w:val="24"/>
                <w:highlight w:val="none"/>
                <w:lang w:eastAsia="zh-CN"/>
                <w14:textFill>
                  <w14:solidFill>
                    <w14:schemeClr w14:val="tx1"/>
                  </w14:solidFill>
                </w14:textFill>
              </w:rPr>
              <w:t>行政检查</w:t>
            </w:r>
          </w:p>
        </w:tc>
        <w:tc>
          <w:tcPr>
            <w:tcW w:w="4009" w:type="dxa"/>
            <w:noWrap w:val="0"/>
            <w:vAlign w:val="center"/>
          </w:tcPr>
          <w:p w14:paraId="7E62064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1.《中华人民共和国环境影响评价法》（2018年修正）</w:t>
            </w:r>
          </w:p>
          <w:p w14:paraId="69DA317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第二十八条 生态环境主管部门应当对建设项目投入生产或者使用后所产生的环境影响进行跟踪检查，对造成严重环境污染或者生态破坏的，应当查清原因、查明责任。对属于建设项目环境影响报告书、环境影响报告表存在基础资料明显不实，内容存在重大缺陷、遗漏或者虚假，环境影响评价结论不正确或者不合理等严重质量问题的，依照本法第三十二条的规定追究建设单位及其相关责任人员和接受委托编制建设项目环境影响报告书、环境影响报告表的技术单位及其相关人员的法律责任；属于审批部门工作人员失职、渎职，对依法不应批准的建设项目环境影响报告书、环境影响报告表予以批准的，依照本法第三十四条的规定追究其法律责任。</w:t>
            </w:r>
          </w:p>
          <w:p w14:paraId="164C86A7">
            <w:pPr>
              <w:keepNext w:val="0"/>
              <w:keepLines w:val="0"/>
              <w:widowControl w:val="0"/>
              <w:suppressLineNumbers w:val="0"/>
              <w:snapToGrid/>
              <w:spacing w:before="0" w:beforeLines="0" w:beforeAutospacing="0" w:after="0" w:afterLines="0" w:afterAutospacing="0" w:line="240" w:lineRule="auto"/>
              <w:ind w:left="0" w:right="0" w:firstLine="0" w:firstLineChars="0"/>
              <w:rPr>
                <w:rFonts w:hint="eastAsia" w:ascii="仿宋" w:hAnsi="仿宋" w:eastAsia="仿宋" w:cs="仿宋"/>
                <w:b w:val="0"/>
                <w:bCs w:val="0"/>
                <w:color w:val="000000" w:themeColor="text1"/>
                <w:sz w:val="24"/>
                <w:szCs w:val="24"/>
                <w:highlight w:val="none"/>
                <w:lang w:val="en-US" w:eastAsia="zh-CN" w:bidi="ar"/>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bidi="ar"/>
                <w14:textFill>
                  <w14:solidFill>
                    <w14:schemeClr w14:val="tx1"/>
                  </w14:solidFill>
                </w14:textFill>
              </w:rPr>
              <w:t>2.《建设项目环境保护管理条例》（2017年修订）</w:t>
            </w:r>
          </w:p>
          <w:p w14:paraId="3378B7B8">
            <w:pPr>
              <w:keepNext w:val="0"/>
              <w:keepLines w:val="0"/>
              <w:widowControl w:val="0"/>
              <w:suppressLineNumbers w:val="0"/>
              <w:snapToGrid/>
              <w:spacing w:before="0" w:beforeLines="0" w:beforeAutospacing="0" w:after="0" w:afterLines="0" w:afterAutospacing="0" w:line="240" w:lineRule="auto"/>
              <w:ind w:left="0" w:right="0" w:firstLine="0" w:firstLineChars="0"/>
              <w:rPr>
                <w:rFonts w:hint="eastAsia" w:ascii="仿宋" w:hAnsi="仿宋" w:eastAsia="仿宋" w:cs="仿宋"/>
                <w:bCs w:val="0"/>
                <w:color w:val="000000" w:themeColor="text1"/>
                <w:sz w:val="24"/>
                <w:szCs w:val="24"/>
                <w:highlight w:val="none"/>
                <w:lang w:bidi="ar"/>
                <w14:textFill>
                  <w14:solidFill>
                    <w14:schemeClr w14:val="tx1"/>
                  </w14:solidFill>
                </w14:textFill>
              </w:rPr>
            </w:pPr>
            <w:r>
              <w:rPr>
                <w:rFonts w:hint="eastAsia" w:ascii="仿宋" w:hAnsi="仿宋" w:eastAsia="仿宋" w:cs="仿宋"/>
                <w:bCs w:val="0"/>
                <w:color w:val="000000" w:themeColor="text1"/>
                <w:sz w:val="24"/>
                <w:szCs w:val="24"/>
                <w:highlight w:val="none"/>
                <w:lang w:bidi="ar"/>
                <w14:textFill>
                  <w14:solidFill>
                    <w14:schemeClr w14:val="tx1"/>
                  </w14:solidFill>
                </w14:textFill>
              </w:rPr>
              <w:t>第二十一条　建设单位有下列行为之一的，依照《中华人民共和国环境影响评价法》的规定处罚：</w:t>
            </w:r>
          </w:p>
          <w:p w14:paraId="79C9F675">
            <w:pPr>
              <w:keepNext w:val="0"/>
              <w:keepLines w:val="0"/>
              <w:widowControl w:val="0"/>
              <w:suppressLineNumbers w:val="0"/>
              <w:snapToGrid/>
              <w:spacing w:before="0" w:beforeLines="0" w:beforeAutospacing="0" w:after="0" w:afterLines="0" w:afterAutospacing="0" w:line="240" w:lineRule="auto"/>
              <w:ind w:left="0" w:right="0" w:firstLine="0" w:firstLineChars="0"/>
              <w:rPr>
                <w:rFonts w:hint="eastAsia" w:ascii="仿宋" w:hAnsi="仿宋" w:eastAsia="仿宋" w:cs="仿宋"/>
                <w:bCs w:val="0"/>
                <w:color w:val="000000" w:themeColor="text1"/>
                <w:sz w:val="24"/>
                <w:szCs w:val="24"/>
                <w:highlight w:val="none"/>
                <w:lang w:bidi="ar"/>
                <w14:textFill>
                  <w14:solidFill>
                    <w14:schemeClr w14:val="tx1"/>
                  </w14:solidFill>
                </w14:textFill>
              </w:rPr>
            </w:pPr>
            <w:r>
              <w:rPr>
                <w:rFonts w:hint="eastAsia" w:ascii="仿宋" w:hAnsi="仿宋" w:eastAsia="仿宋" w:cs="仿宋"/>
                <w:bCs w:val="0"/>
                <w:color w:val="000000" w:themeColor="text1"/>
                <w:sz w:val="24"/>
                <w:szCs w:val="24"/>
                <w:highlight w:val="none"/>
                <w:lang w:bidi="ar"/>
                <w14:textFill>
                  <w14:solidFill>
                    <w14:schemeClr w14:val="tx1"/>
                  </w14:solidFill>
                </w14:textFill>
              </w:rPr>
              <w:t>(一)建设项目环境影响报告书、环境影响报告表未依法报批或者报请重新审核，擅自开工建设;</w:t>
            </w:r>
          </w:p>
          <w:p w14:paraId="5FAC8581">
            <w:pPr>
              <w:keepNext w:val="0"/>
              <w:keepLines w:val="0"/>
              <w:widowControl w:val="0"/>
              <w:suppressLineNumbers w:val="0"/>
              <w:snapToGrid/>
              <w:spacing w:before="0" w:beforeLines="0" w:beforeAutospacing="0" w:after="0" w:afterLines="0" w:afterAutospacing="0" w:line="240" w:lineRule="auto"/>
              <w:ind w:left="0" w:right="0" w:firstLine="0" w:firstLineChars="0"/>
              <w:rPr>
                <w:rFonts w:hint="eastAsia" w:ascii="仿宋" w:hAnsi="仿宋" w:eastAsia="仿宋" w:cs="仿宋"/>
                <w:bCs w:val="0"/>
                <w:color w:val="000000" w:themeColor="text1"/>
                <w:sz w:val="24"/>
                <w:szCs w:val="24"/>
                <w:highlight w:val="none"/>
                <w:lang w:bidi="ar"/>
                <w14:textFill>
                  <w14:solidFill>
                    <w14:schemeClr w14:val="tx1"/>
                  </w14:solidFill>
                </w14:textFill>
              </w:rPr>
            </w:pPr>
            <w:r>
              <w:rPr>
                <w:rFonts w:hint="eastAsia" w:ascii="仿宋" w:hAnsi="仿宋" w:eastAsia="仿宋" w:cs="仿宋"/>
                <w:bCs w:val="0"/>
                <w:color w:val="000000" w:themeColor="text1"/>
                <w:sz w:val="24"/>
                <w:szCs w:val="24"/>
                <w:highlight w:val="none"/>
                <w:lang w:bidi="ar"/>
                <w14:textFill>
                  <w14:solidFill>
                    <w14:schemeClr w14:val="tx1"/>
                  </w14:solidFill>
                </w14:textFill>
              </w:rPr>
              <w:t>(二)建设项目环境影响报告书、环境影响报告表未经批准或者重新审核同意，擅自开工建设;</w:t>
            </w:r>
          </w:p>
          <w:p w14:paraId="2D2F9C4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val="0"/>
                <w:color w:val="000000" w:themeColor="text1"/>
                <w:sz w:val="24"/>
                <w:szCs w:val="24"/>
                <w:highlight w:val="none"/>
                <w:lang w:bidi="ar"/>
                <w14:textFill>
                  <w14:solidFill>
                    <w14:schemeClr w14:val="tx1"/>
                  </w14:solidFill>
                </w14:textFill>
              </w:rPr>
            </w:pPr>
            <w:r>
              <w:rPr>
                <w:rFonts w:hint="eastAsia" w:ascii="仿宋" w:hAnsi="仿宋" w:eastAsia="仿宋" w:cs="仿宋"/>
                <w:bCs w:val="0"/>
                <w:color w:val="000000" w:themeColor="text1"/>
                <w:sz w:val="24"/>
                <w:szCs w:val="24"/>
                <w:highlight w:val="none"/>
                <w:lang w:bidi="ar"/>
                <w14:textFill>
                  <w14:solidFill>
                    <w14:schemeClr w14:val="tx1"/>
                  </w14:solidFill>
                </w14:textFill>
              </w:rPr>
              <w:t>(三)建设项目环境影响登记表未依法备案。</w:t>
            </w:r>
          </w:p>
          <w:p w14:paraId="28F4B2C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pPr>
            <w:r>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t>3.《建设项目环境影响登记表备案管理办法》（环境保护部令第41号，2017年1月1日施行）</w:t>
            </w:r>
          </w:p>
          <w:p w14:paraId="0EE4284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pPr>
            <w:r>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t>第十七条  环境保护主管部门或者其他负有环境保护监督管理职责的部门可以采取抽查、根据举报进行检查等方式，对建设单位遵守本办法规定的情况开展监督检查，并根据监督检查认定的事实，按照以下情形处理：</w:t>
            </w:r>
          </w:p>
          <w:p w14:paraId="0D81CF40">
            <w:pPr>
              <w:keepNext w:val="0"/>
              <w:keepLines w:val="0"/>
              <w:widowControl w:val="0"/>
              <w:numPr>
                <w:ilvl w:val="-1"/>
                <w:numId w:val="0"/>
              </w:numPr>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pPr>
            <w:r>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t>构成行政违法的，依照有关环境保护法律法规和规定，予以行政处罚；</w:t>
            </w:r>
          </w:p>
          <w:p w14:paraId="694D1CE9">
            <w:pPr>
              <w:keepNext w:val="0"/>
              <w:keepLines w:val="0"/>
              <w:widowControl w:val="0"/>
              <w:numPr>
                <w:ilvl w:val="-1"/>
                <w:numId w:val="0"/>
              </w:numPr>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pPr>
            <w:r>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t>构成环境侵权的，依法承担环境侵权责任；</w:t>
            </w:r>
          </w:p>
          <w:p w14:paraId="0D013D6B">
            <w:pPr>
              <w:keepNext w:val="0"/>
              <w:keepLines w:val="0"/>
              <w:widowControl w:val="0"/>
              <w:numPr>
                <w:ilvl w:val="-1"/>
                <w:numId w:val="0"/>
              </w:numPr>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pPr>
            <w:r>
              <w:rPr>
                <w:rFonts w:hint="eastAsia" w:ascii="仿宋" w:hAnsi="仿宋" w:eastAsia="仿宋" w:cs="仿宋"/>
                <w:bCs w:val="0"/>
                <w:color w:val="000000" w:themeColor="text1"/>
                <w:sz w:val="24"/>
                <w:szCs w:val="24"/>
                <w:highlight w:val="none"/>
                <w:lang w:val="en-US" w:eastAsia="zh-CN" w:bidi="ar"/>
                <w14:textFill>
                  <w14:solidFill>
                    <w14:schemeClr w14:val="tx1"/>
                  </w14:solidFill>
                </w14:textFill>
              </w:rPr>
              <w:t xml:space="preserve">涉嫌构成犯罪的，依法移送司法机关。  </w:t>
            </w:r>
          </w:p>
          <w:p w14:paraId="1799ECE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bCs/>
                <w:color w:val="000000" w:themeColor="text1"/>
                <w:sz w:val="24"/>
                <w:szCs w:val="24"/>
                <w:highlight w:val="none"/>
                <w14:textFill>
                  <w14:solidFill>
                    <w14:schemeClr w14:val="tx1"/>
                  </w14:solidFill>
                </w14:textFill>
              </w:rPr>
            </w:pPr>
          </w:p>
        </w:tc>
        <w:tc>
          <w:tcPr>
            <w:tcW w:w="1573" w:type="dxa"/>
            <w:noWrap w:val="0"/>
            <w:vAlign w:val="center"/>
          </w:tcPr>
          <w:p w14:paraId="04AA67C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0C31CD6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22EAB850">
            <w:pPr>
              <w:keepNext w:val="0"/>
              <w:keepLines w:val="0"/>
              <w:pageBreakBefore w:val="0"/>
              <w:widowControl w:val="0"/>
              <w:kinsoku/>
              <w:wordWrap/>
              <w:overflowPunct w:val="0"/>
              <w:topLinePunct/>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相关项目建设企业、环评文件技术企业、环评文件编制人员</w:t>
            </w:r>
          </w:p>
        </w:tc>
        <w:tc>
          <w:tcPr>
            <w:tcW w:w="1370" w:type="dxa"/>
            <w:noWrap w:val="0"/>
            <w:vAlign w:val="center"/>
          </w:tcPr>
          <w:p w14:paraId="2CE0F05B">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环评文件及批文提出的环境保护措施、环境管理要求等落实情况；</w:t>
            </w:r>
          </w:p>
          <w:p w14:paraId="13AF7E25">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建设项目投入生产或者使用后所产生的环境影响；</w:t>
            </w:r>
          </w:p>
          <w:p w14:paraId="1EEB6DC7">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建设项目环评文件是否存在基础资料明显不实，内容存在重大缺陷、遗漏或者虚假，环境影响评价结论不正确或者不合理等严重质量问题；</w:t>
            </w:r>
          </w:p>
          <w:p w14:paraId="2005F037">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建设项目是否存在降级管理或</w:t>
            </w:r>
            <w:r>
              <w:rPr>
                <w:rFonts w:hint="eastAsia" w:ascii="仿宋" w:hAnsi="仿宋" w:eastAsia="仿宋" w:cs="仿宋"/>
                <w:bCs/>
                <w:color w:val="000000" w:themeColor="text1"/>
                <w:sz w:val="24"/>
                <w:szCs w:val="24"/>
                <w:highlight w:val="none"/>
                <w14:textFill>
                  <w14:solidFill>
                    <w14:schemeClr w14:val="tx1"/>
                  </w14:solidFill>
                </w14:textFill>
              </w:rPr>
              <w:t>环境影响登记表未依法备案</w:t>
            </w:r>
            <w:r>
              <w:rPr>
                <w:rFonts w:hint="eastAsia" w:ascii="仿宋" w:hAnsi="仿宋" w:eastAsia="仿宋" w:cs="仿宋"/>
                <w:bCs/>
                <w:color w:val="000000" w:themeColor="text1"/>
                <w:sz w:val="24"/>
                <w:szCs w:val="24"/>
                <w:highlight w:val="none"/>
                <w:lang w:eastAsia="zh-CN"/>
                <w14:textFill>
                  <w14:solidFill>
                    <w14:schemeClr w14:val="tx1"/>
                  </w14:solidFill>
                </w14:textFill>
              </w:rPr>
              <w:t>的问题。</w:t>
            </w:r>
          </w:p>
        </w:tc>
        <w:tc>
          <w:tcPr>
            <w:tcW w:w="898" w:type="dxa"/>
            <w:noWrap w:val="0"/>
            <w:vAlign w:val="center"/>
          </w:tcPr>
          <w:p w14:paraId="255511AC">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 w:eastAsia="zh-CN"/>
                <w14:textFill>
                  <w14:solidFill>
                    <w14:schemeClr w14:val="tx1"/>
                  </w14:solidFill>
                </w14:textFill>
              </w:rPr>
              <w:t>现场检查、非现场检查相结合</w:t>
            </w:r>
          </w:p>
        </w:tc>
        <w:tc>
          <w:tcPr>
            <w:tcW w:w="1386" w:type="dxa"/>
            <w:noWrap w:val="0"/>
            <w:vAlign w:val="center"/>
          </w:tcPr>
          <w:p w14:paraId="694D1BC3">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3BE6B605">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14:textFill>
                  <w14:solidFill>
                    <w14:schemeClr w14:val="tx1"/>
                  </w14:solidFill>
                </w14:textFill>
              </w:rPr>
            </w:pPr>
          </w:p>
        </w:tc>
      </w:tr>
      <w:tr w14:paraId="2E47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88" w:type="dxa"/>
            <w:noWrap w:val="0"/>
            <w:vAlign w:val="center"/>
          </w:tcPr>
          <w:p w14:paraId="642D8D74">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19</w:t>
            </w:r>
          </w:p>
        </w:tc>
        <w:tc>
          <w:tcPr>
            <w:tcW w:w="1723" w:type="dxa"/>
            <w:noWrap w:val="0"/>
            <w:vAlign w:val="center"/>
          </w:tcPr>
          <w:p w14:paraId="1BCD570B">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对环境监测机构、从事环境监测设备运营维护的机构进行检查</w:t>
            </w:r>
          </w:p>
        </w:tc>
        <w:tc>
          <w:tcPr>
            <w:tcW w:w="4009" w:type="dxa"/>
            <w:noWrap w:val="0"/>
            <w:vAlign w:val="center"/>
          </w:tcPr>
          <w:p w14:paraId="6AD08D0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1.《中华人民共和国环境保护法》（2014年修订）</w:t>
            </w:r>
          </w:p>
          <w:p w14:paraId="52752BF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第十七条 国家建立、健全环境监测制度。国务院环境保护主管部门制定监测规范，会同有关部门组织监测网络，统一规划国家环境质量监测站（点）的设置，建立监测数据共享机制，加强对环境监测的管理。</w:t>
            </w:r>
          </w:p>
          <w:p w14:paraId="473479E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有关行业、专业等各类环境质量监测站（点）的设置应当符合</w:t>
            </w:r>
          </w:p>
          <w:p w14:paraId="6363ADD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法律法规规定和监测规范的要求。</w:t>
            </w:r>
          </w:p>
          <w:p w14:paraId="6FC0788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监测机构应当使用符合国家标准的监测设备，遵守监测规范。</w:t>
            </w:r>
          </w:p>
          <w:p w14:paraId="3D52F3B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监测机构及其负责人对监测数据的真实性和准确性负责。</w:t>
            </w:r>
          </w:p>
          <w:p w14:paraId="31D77EE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2.《湖南省环境保护条例》（2024年修正）</w:t>
            </w:r>
          </w:p>
          <w:p w14:paraId="1972795F">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一条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29F5035B">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被检查者应当配合检查，如实反映情况，提供必要的资料。</w:t>
            </w:r>
          </w:p>
        </w:tc>
        <w:tc>
          <w:tcPr>
            <w:tcW w:w="1573" w:type="dxa"/>
            <w:noWrap w:val="0"/>
            <w:vAlign w:val="center"/>
          </w:tcPr>
          <w:p w14:paraId="4CBF8A7C">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5C3A4FC7">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1FA9B11A">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（第三方）生态环境监测服务机构</w:t>
            </w:r>
          </w:p>
        </w:tc>
        <w:tc>
          <w:tcPr>
            <w:tcW w:w="1370" w:type="dxa"/>
            <w:noWrap w:val="0"/>
            <w:vAlign w:val="center"/>
          </w:tcPr>
          <w:p w14:paraId="797A37DA">
            <w:pPr>
              <w:keepNext w:val="0"/>
              <w:keepLines w:val="0"/>
              <w:pageBreakBefore w:val="0"/>
              <w:widowControl w:val="0"/>
              <w:numPr>
                <w:ilvl w:val="0"/>
                <w:numId w:val="0"/>
              </w:numPr>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全省社会化生态环境监测机构是否使用符合国家标准的监测设备，遵守监测规范，对监测数据是否存在弄虚作假情形进行判定等</w:t>
            </w:r>
          </w:p>
        </w:tc>
        <w:tc>
          <w:tcPr>
            <w:tcW w:w="898" w:type="dxa"/>
            <w:noWrap w:val="0"/>
            <w:vAlign w:val="center"/>
          </w:tcPr>
          <w:p w14:paraId="111C2D7C">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现场检查、非现场检查相结合</w:t>
            </w:r>
          </w:p>
        </w:tc>
        <w:tc>
          <w:tcPr>
            <w:tcW w:w="1386" w:type="dxa"/>
            <w:noWrap w:val="0"/>
            <w:vAlign w:val="center"/>
          </w:tcPr>
          <w:p w14:paraId="7B0978B5">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777E66A1">
            <w:pPr>
              <w:keepNext w:val="0"/>
              <w:keepLines w:val="0"/>
              <w:pageBreakBefore w:val="0"/>
              <w:widowControl w:val="0"/>
              <w:kinsoku/>
              <w:wordWrap/>
              <w:overflowPunct w:val="0"/>
              <w:topLinePunct/>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bCs/>
                <w:color w:val="000000" w:themeColor="text1"/>
                <w:kern w:val="2"/>
                <w:sz w:val="24"/>
                <w:szCs w:val="24"/>
                <w:highlight w:val="none"/>
                <w:lang w:val="en-US" w:eastAsia="zh-CN" w:bidi="ar-SA"/>
                <w14:textFill>
                  <w14:solidFill>
                    <w14:schemeClr w14:val="tx1"/>
                  </w14:solidFill>
                </w14:textFill>
              </w:rPr>
              <w:t>。</w:t>
            </w:r>
          </w:p>
        </w:tc>
      </w:tr>
      <w:tr w14:paraId="5615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788" w:type="dxa"/>
            <w:noWrap w:val="0"/>
            <w:vAlign w:val="center"/>
          </w:tcPr>
          <w:p w14:paraId="5063C6C4">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20</w:t>
            </w:r>
          </w:p>
        </w:tc>
        <w:tc>
          <w:tcPr>
            <w:tcW w:w="1723" w:type="dxa"/>
            <w:noWrap w:val="0"/>
            <w:vAlign w:val="center"/>
          </w:tcPr>
          <w:p w14:paraId="7F2F4311">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对建设项目环境保护设施设计、施工、验收、投入生产或者使用情况，以及有关环境影响评价文件确定的其他环境保护措施的落实情况的行政检查</w:t>
            </w:r>
          </w:p>
        </w:tc>
        <w:tc>
          <w:tcPr>
            <w:tcW w:w="4009" w:type="dxa"/>
            <w:noWrap w:val="0"/>
            <w:vAlign w:val="center"/>
          </w:tcPr>
          <w:p w14:paraId="42B9447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1.《建设项目环境保护管理条例》（2017年修订）</w:t>
            </w:r>
          </w:p>
          <w:p w14:paraId="4520BDBD">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第二十条 环境保护行政主管部门应当对建设项目环境保护设施设计、施工、验收、投入生产或者使用情况，以及有关环境影响评价文件确定的其他环境保护措施的落实情况，进行监督检查。</w:t>
            </w:r>
          </w:p>
          <w:p w14:paraId="15B2A82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环境保护行政主管部门应当将建设项目有关环境违法信息记入社会诚信档案，及时向社会公开违法者名单。</w:t>
            </w:r>
          </w:p>
          <w:p w14:paraId="44F0863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2.《建设项目环境影响登记表备案管理办法》（环境保护部令第41号，2017年1月1日施行）</w:t>
            </w:r>
          </w:p>
          <w:p w14:paraId="3B5A5AC6">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第十七条 环境保护主管部门或者其他负有环境保护监督管理职责的部门可以采取抽查、根据举报进行检查等方式，对建设单位遵守本办法规定的情况开展监督检查，并根据监督检查认定的事实，按照以下情形处理：</w:t>
            </w:r>
          </w:p>
          <w:p w14:paraId="0A154555">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（一）构成行政违法的，依照有关环境保护法律法规和规定，予以行政处罚；</w:t>
            </w:r>
          </w:p>
          <w:p w14:paraId="1EAA33A2">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（二）构成环境侵权的，依法承担环境侵权责任；</w:t>
            </w:r>
          </w:p>
          <w:p w14:paraId="454A458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（三）涉嫌构成犯罪的，依法移送司法机关。</w:t>
            </w:r>
          </w:p>
        </w:tc>
        <w:tc>
          <w:tcPr>
            <w:tcW w:w="1573" w:type="dxa"/>
            <w:noWrap w:val="0"/>
            <w:vAlign w:val="center"/>
          </w:tcPr>
          <w:p w14:paraId="29042CAC">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46F46404">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7B5F65B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对环境有影响的建设项目的企业</w:t>
            </w:r>
          </w:p>
          <w:p w14:paraId="7080017E">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1370" w:type="dxa"/>
            <w:noWrap w:val="0"/>
            <w:vAlign w:val="center"/>
          </w:tcPr>
          <w:p w14:paraId="25F7D8BC">
            <w:pPr>
              <w:keepNext w:val="0"/>
              <w:keepLines w:val="0"/>
              <w:pageBreakBefore w:val="0"/>
              <w:widowControl w:val="0"/>
              <w:numPr>
                <w:ilvl w:val="0"/>
                <w:numId w:val="2"/>
              </w:numPr>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对建设项目环境保护设施设计、施工、验收、投入生产或者使用情况，以及有关环境影响评价文件确定的其他环境保护措施的落实情况进行监督检查</w:t>
            </w:r>
          </w:p>
          <w:p w14:paraId="6B813D9E">
            <w:pPr>
              <w:keepNext w:val="0"/>
              <w:keepLines w:val="0"/>
              <w:pageBreakBefore w:val="0"/>
              <w:widowControl w:val="0"/>
              <w:numPr>
                <w:ilvl w:val="0"/>
                <w:numId w:val="2"/>
              </w:numPr>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对</w:t>
            </w:r>
            <w:r>
              <w:rPr>
                <w:rFonts w:hint="eastAsia" w:ascii="仿宋" w:hAnsi="仿宋" w:eastAsia="仿宋" w:cs="仿宋"/>
                <w:color w:val="000000" w:themeColor="text1"/>
                <w:kern w:val="0"/>
                <w:sz w:val="24"/>
                <w:szCs w:val="24"/>
                <w:highlight w:val="none"/>
                <w:lang w:val="zh-CN" w:eastAsia="zh-CN"/>
                <w14:textFill>
                  <w14:solidFill>
                    <w14:schemeClr w14:val="tx1"/>
                  </w14:solidFill>
                </w14:textFill>
              </w:rPr>
              <w:t>建设项目的环境影响登记表备案</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情况进行监督检查</w:t>
            </w:r>
          </w:p>
        </w:tc>
        <w:tc>
          <w:tcPr>
            <w:tcW w:w="898" w:type="dxa"/>
            <w:noWrap w:val="0"/>
            <w:vAlign w:val="center"/>
          </w:tcPr>
          <w:p w14:paraId="05CF52AD">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 w:eastAsia="zh-CN"/>
                <w14:textFill>
                  <w14:solidFill>
                    <w14:schemeClr w14:val="tx1"/>
                  </w14:solidFill>
                </w14:textFill>
              </w:rPr>
              <w:t>现场检查、非现场检查相结合</w:t>
            </w:r>
          </w:p>
        </w:tc>
        <w:tc>
          <w:tcPr>
            <w:tcW w:w="1386" w:type="dxa"/>
            <w:noWrap w:val="0"/>
            <w:vAlign w:val="center"/>
          </w:tcPr>
          <w:p w14:paraId="32798663">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55A8FEE2">
            <w:pPr>
              <w:keepNext w:val="0"/>
              <w:keepLines w:val="0"/>
              <w:pageBreakBefore w:val="0"/>
              <w:widowControl w:val="0"/>
              <w:kinsoku/>
              <w:wordWrap/>
              <w:overflowPunct w:val="0"/>
              <w:topLinePunct/>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lang w:eastAsia="zh-CN"/>
                <w14:textFill>
                  <w14:solidFill>
                    <w14:schemeClr w14:val="tx1"/>
                  </w14:solidFill>
                </w14:textFill>
              </w:rPr>
            </w:pPr>
          </w:p>
        </w:tc>
      </w:tr>
      <w:tr w14:paraId="160D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88" w:type="dxa"/>
            <w:noWrap w:val="0"/>
            <w:vAlign w:val="center"/>
          </w:tcPr>
          <w:p w14:paraId="16A113A3">
            <w:pPr>
              <w:keepNext w:val="0"/>
              <w:keepLines w:val="0"/>
              <w:pageBreakBefore w:val="0"/>
              <w:widowControl w:val="0"/>
              <w:numPr>
                <w:ilvl w:val="0"/>
                <w:numId w:val="0"/>
              </w:numPr>
              <w:tabs>
                <w:tab w:val="left" w:pos="0"/>
              </w:tabs>
              <w:kinsoku/>
              <w:wordWrap/>
              <w:overflowPunct w:val="0"/>
              <w:topLinePunct/>
              <w:autoSpaceDE/>
              <w:autoSpaceDN/>
              <w:bidi w:val="0"/>
              <w:adjustRightInd w:val="0"/>
              <w:snapToGrid w:val="0"/>
              <w:spacing w:line="240" w:lineRule="auto"/>
              <w:ind w:left="0" w:leftChars="0" w:firstLine="0" w:firstLineChars="0"/>
              <w:jc w:val="center"/>
              <w:rPr>
                <w:rFonts w:hint="default"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21</w:t>
            </w:r>
          </w:p>
        </w:tc>
        <w:tc>
          <w:tcPr>
            <w:tcW w:w="1723" w:type="dxa"/>
            <w:noWrap w:val="0"/>
            <w:vAlign w:val="center"/>
          </w:tcPr>
          <w:p w14:paraId="4FA02AF7">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对污染源自动监控设施现场的监督检查；对自动监控系统的建设、运行和维护等的</w:t>
            </w:r>
            <w:r>
              <w:rPr>
                <w:rFonts w:hint="eastAsia" w:ascii="仿宋" w:hAnsi="仿宋" w:eastAsia="仿宋" w:cs="仿宋"/>
                <w:color w:val="000000" w:themeColor="text1"/>
                <w:sz w:val="24"/>
                <w:szCs w:val="24"/>
                <w:highlight w:val="none"/>
                <w:lang w:eastAsia="zh-CN"/>
                <w14:textFill>
                  <w14:solidFill>
                    <w14:schemeClr w14:val="tx1"/>
                  </w14:solidFill>
                </w14:textFill>
              </w:rPr>
              <w:t>行政</w:t>
            </w:r>
            <w:r>
              <w:rPr>
                <w:rFonts w:hint="eastAsia" w:ascii="仿宋" w:hAnsi="仿宋" w:eastAsia="仿宋" w:cs="仿宋"/>
                <w:color w:val="000000" w:themeColor="text1"/>
                <w:sz w:val="24"/>
                <w:szCs w:val="24"/>
                <w:highlight w:val="none"/>
                <w14:textFill>
                  <w14:solidFill>
                    <w14:schemeClr w14:val="tx1"/>
                  </w14:solidFill>
                </w14:textFill>
              </w:rPr>
              <w:t>检查</w:t>
            </w:r>
          </w:p>
        </w:tc>
        <w:tc>
          <w:tcPr>
            <w:tcW w:w="4009" w:type="dxa"/>
            <w:noWrap w:val="0"/>
            <w:vAlign w:val="center"/>
          </w:tcPr>
          <w:p w14:paraId="4C6B9577">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1.《中华人民共和国水污染防治法》（2017年修正）</w:t>
            </w:r>
          </w:p>
          <w:p w14:paraId="635010F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第二十四条 实行排污许可管理的企业事业单位和其他生产经营者应当对监测数据的真实性和准确性负责。</w:t>
            </w:r>
          </w:p>
          <w:p w14:paraId="581DE0A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环境保护主管部门发现重点排污单位的水污染物排放自动监测设备传输数据异常，应当及时进行调查。</w:t>
            </w:r>
          </w:p>
          <w:p w14:paraId="081979C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2.《污染源自动监控设施现场监督检查办法》（环境保护部令第19号，2012年4月1日施行）</w:t>
            </w:r>
          </w:p>
          <w:p w14:paraId="0DD925C0">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第四条 污染源自动监控设施的现场监督检查，由各级环境保护主管部门或者其委托的行使现场监督检查职责的机构（以下统称监督检查机构）具体负责。</w:t>
            </w:r>
          </w:p>
          <w:p w14:paraId="54C1CBC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省级以下环境保护主管部门对污染源自动监控设施进行监督管理和现场监督检查的权限划分，由省级环境保护主管部门确定。</w:t>
            </w:r>
          </w:p>
          <w:p w14:paraId="230457A4">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3.《污染源自动监控管理办法》（国家环境保护总局令第28号，2005年11月1日施行）</w:t>
            </w:r>
          </w:p>
          <w:p w14:paraId="5492648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shd w:val="clear" w:color="auto" w:fill="FFFFFF"/>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第六条第（三）项 环境监察机构负责以下工作：（三）对自动监控系统的建设、运行和维护等进行监督检查。</w:t>
            </w:r>
          </w:p>
        </w:tc>
        <w:tc>
          <w:tcPr>
            <w:tcW w:w="1573" w:type="dxa"/>
            <w:noWrap w:val="0"/>
            <w:vAlign w:val="center"/>
          </w:tcPr>
          <w:p w14:paraId="22A2D31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179BED1A">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2974D4E1">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重点排污</w:t>
            </w:r>
            <w:r>
              <w:rPr>
                <w:rFonts w:hint="eastAsia" w:ascii="仿宋" w:hAnsi="仿宋" w:eastAsia="仿宋" w:cs="仿宋"/>
                <w:color w:val="000000" w:themeColor="text1"/>
                <w:sz w:val="24"/>
                <w:szCs w:val="24"/>
                <w:highlight w:val="none"/>
                <w:lang w:val="en-US" w:eastAsia="zh-CN"/>
                <w14:textFill>
                  <w14:solidFill>
                    <w14:schemeClr w14:val="tx1"/>
                  </w14:solidFill>
                </w14:textFill>
              </w:rPr>
              <w:t>的企业和其他生产经营者</w:t>
            </w:r>
          </w:p>
        </w:tc>
        <w:tc>
          <w:tcPr>
            <w:tcW w:w="1370" w:type="dxa"/>
            <w:noWrap w:val="0"/>
            <w:vAlign w:val="center"/>
          </w:tcPr>
          <w:p w14:paraId="289000D9">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数据监测异常</w:t>
            </w:r>
          </w:p>
        </w:tc>
        <w:tc>
          <w:tcPr>
            <w:tcW w:w="898" w:type="dxa"/>
            <w:noWrap w:val="0"/>
            <w:vAlign w:val="center"/>
          </w:tcPr>
          <w:p w14:paraId="6657B6B8">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 w:eastAsia="zh-CN"/>
                <w14:textFill>
                  <w14:solidFill>
                    <w14:schemeClr w14:val="tx1"/>
                  </w14:solidFill>
                </w14:textFill>
              </w:rPr>
              <w:t>现场检查、非现场检查相结合</w:t>
            </w:r>
          </w:p>
        </w:tc>
        <w:tc>
          <w:tcPr>
            <w:tcW w:w="1386" w:type="dxa"/>
            <w:noWrap w:val="0"/>
            <w:vAlign w:val="center"/>
          </w:tcPr>
          <w:p w14:paraId="6C715B2C">
            <w:pPr>
              <w:keepNext w:val="0"/>
              <w:keepLines w:val="0"/>
              <w:pageBreakBefore w:val="0"/>
              <w:widowControl w:val="0"/>
              <w:kinsoku/>
              <w:wordWrap/>
              <w:overflowPunct w:val="0"/>
              <w:topLinePunct/>
              <w:autoSpaceDE/>
              <w:autoSpaceDN/>
              <w:bidi w:val="0"/>
              <w:adjustRightInd w:val="0"/>
              <w:snapToGrid w:val="0"/>
              <w:spacing w:line="240" w:lineRule="auto"/>
              <w:jc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不受年度频次上限限制</w:t>
            </w:r>
          </w:p>
        </w:tc>
        <w:tc>
          <w:tcPr>
            <w:tcW w:w="1406" w:type="dxa"/>
            <w:noWrap w:val="0"/>
            <w:vAlign w:val="center"/>
          </w:tcPr>
          <w:p w14:paraId="0EB836FF">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pPr>
          </w:p>
        </w:tc>
      </w:tr>
      <w:tr w14:paraId="0A5BC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6" w:hRule="atLeast"/>
          <w:jc w:val="center"/>
        </w:trPr>
        <w:tc>
          <w:tcPr>
            <w:tcW w:w="788" w:type="dxa"/>
            <w:noWrap w:val="0"/>
            <w:vAlign w:val="center"/>
          </w:tcPr>
          <w:p w14:paraId="7B95A748">
            <w:pPr>
              <w:widowControl w:val="0"/>
              <w:jc w:val="center"/>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22</w:t>
            </w:r>
          </w:p>
        </w:tc>
        <w:tc>
          <w:tcPr>
            <w:tcW w:w="1723" w:type="dxa"/>
            <w:noWrap w:val="0"/>
            <w:vAlign w:val="center"/>
          </w:tcPr>
          <w:p w14:paraId="0705172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对企业事业单位环境风险防范和环境安全隐患排查治理工作</w:t>
            </w:r>
            <w:r>
              <w:rPr>
                <w:rFonts w:hint="eastAsia" w:ascii="仿宋" w:hAnsi="仿宋" w:eastAsia="仿宋" w:cs="仿宋"/>
                <w:color w:val="000000" w:themeColor="text1"/>
                <w:sz w:val="24"/>
                <w:szCs w:val="24"/>
                <w:highlight w:val="none"/>
                <w:lang w:val="en-US" w:eastAsia="zh-CN"/>
                <w14:textFill>
                  <w14:solidFill>
                    <w14:schemeClr w14:val="tx1"/>
                  </w14:solidFill>
                </w14:textFill>
              </w:rPr>
              <w:t>的行政检查</w:t>
            </w:r>
          </w:p>
        </w:tc>
        <w:tc>
          <w:tcPr>
            <w:tcW w:w="4009" w:type="dxa"/>
            <w:noWrap w:val="0"/>
            <w:vAlign w:val="center"/>
          </w:tcPr>
          <w:p w14:paraId="22FBDE5E">
            <w:pPr>
              <w:keepNext w:val="0"/>
              <w:keepLines w:val="0"/>
              <w:widowControl w:val="0"/>
              <w:numPr>
                <w:ilvl w:val="-1"/>
                <w:numId w:val="0"/>
              </w:numPr>
              <w:suppressLineNumbers w:val="0"/>
              <w:spacing w:before="0" w:beforeLines="0" w:beforeAutospacing="0" w:after="0" w:afterLines="0" w:afterAutospacing="0"/>
              <w:ind w:left="0" w:right="0"/>
              <w:jc w:val="both"/>
              <w:textAlignment w:val="auto"/>
              <w:rPr>
                <w:rFonts w:hint="eastAsia" w:ascii="仿宋" w:hAnsi="仿宋" w:eastAsia="仿宋" w:cs="仿宋"/>
                <w:color w:val="000000" w:themeColor="text1"/>
                <w:sz w:val="24"/>
                <w:szCs w:val="24"/>
                <w:highlight w:val="none"/>
                <w:lang w:bidi="ar"/>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bidi="ar"/>
                <w14:textFill>
                  <w14:solidFill>
                    <w14:schemeClr w14:val="tx1"/>
                  </w14:solidFill>
                </w14:textFill>
              </w:rPr>
              <w:t>1.</w:t>
            </w:r>
            <w:r>
              <w:rPr>
                <w:rFonts w:hint="eastAsia" w:ascii="仿宋" w:hAnsi="仿宋" w:eastAsia="仿宋" w:cs="仿宋"/>
                <w:b w:val="0"/>
                <w:bCs w:val="0"/>
                <w:color w:val="000000" w:themeColor="text1"/>
                <w:sz w:val="24"/>
                <w:szCs w:val="24"/>
                <w:highlight w:val="none"/>
                <w:lang w:eastAsia="zh-CN" w:bidi="ar"/>
                <w14:textFill>
                  <w14:solidFill>
                    <w14:schemeClr w14:val="tx1"/>
                  </w14:solidFill>
                </w14:textFill>
              </w:rPr>
              <w:t>《</w:t>
            </w:r>
            <w:r>
              <w:rPr>
                <w:rFonts w:hint="eastAsia" w:ascii="仿宋" w:hAnsi="仿宋" w:eastAsia="仿宋" w:cs="仿宋"/>
                <w:b w:val="0"/>
                <w:bCs w:val="0"/>
                <w:color w:val="000000" w:themeColor="text1"/>
                <w:sz w:val="24"/>
                <w:szCs w:val="24"/>
                <w:highlight w:val="none"/>
                <w:lang w:bidi="ar"/>
                <w14:textFill>
                  <w14:solidFill>
                    <w14:schemeClr w14:val="tx1"/>
                  </w14:solidFill>
                </w14:textFill>
              </w:rPr>
              <w:t>突发环境事件应急管理办法</w:t>
            </w:r>
            <w:r>
              <w:rPr>
                <w:rFonts w:hint="eastAsia" w:ascii="仿宋" w:hAnsi="仿宋" w:eastAsia="仿宋" w:cs="仿宋"/>
                <w:b w:val="0"/>
                <w:bCs w:val="0"/>
                <w:color w:val="000000" w:themeColor="text1"/>
                <w:sz w:val="24"/>
                <w:szCs w:val="24"/>
                <w:highlight w:val="none"/>
                <w:lang w:eastAsia="zh-CN" w:bidi="ar"/>
                <w14:textFill>
                  <w14:solidFill>
                    <w14:schemeClr w14:val="tx1"/>
                  </w14:solidFill>
                </w14:textFill>
              </w:rPr>
              <w:t>》（环境保护部令第34号，2015年6月5日施行）</w:t>
            </w:r>
            <w:r>
              <w:rPr>
                <w:rFonts w:hint="eastAsia" w:ascii="仿宋" w:hAnsi="仿宋" w:eastAsia="仿宋" w:cs="仿宋"/>
                <w:b w:val="0"/>
                <w:bCs w:val="0"/>
                <w:color w:val="000000" w:themeColor="text1"/>
                <w:sz w:val="24"/>
                <w:szCs w:val="24"/>
                <w:highlight w:val="none"/>
                <w:lang w:bidi="ar"/>
                <w14:textFill>
                  <w14:solidFill>
                    <w14:schemeClr w14:val="tx1"/>
                  </w14:solidFill>
                </w14:textFill>
              </w:rPr>
              <w:t xml:space="preserve"> </w:t>
            </w:r>
            <w:r>
              <w:rPr>
                <w:rFonts w:hint="eastAsia" w:ascii="仿宋" w:hAnsi="仿宋" w:eastAsia="仿宋" w:cs="仿宋"/>
                <w:color w:val="000000" w:themeColor="text1"/>
                <w:sz w:val="24"/>
                <w:szCs w:val="24"/>
                <w:highlight w:val="none"/>
                <w:lang w:bidi="ar"/>
                <w14:textFill>
                  <w14:solidFill>
                    <w14:schemeClr w14:val="tx1"/>
                  </w14:solidFill>
                </w14:textFill>
              </w:rPr>
              <w:t xml:space="preserve"> </w:t>
            </w:r>
          </w:p>
          <w:p w14:paraId="6DC91B0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bidi="ar"/>
                <w14:textFill>
                  <w14:solidFill>
                    <w14:schemeClr w14:val="tx1"/>
                  </w14:solidFill>
                </w14:textFill>
              </w:rPr>
              <w:t>第十二条 县级以上地方环境保护主管部门应当对企业事业单位环境风险防范和环境安全隐患排查治理工作进行抽查或者突击检查，将存在重大环境安全隐患且整治不力的企业信息纳入社会诚信档案, 并可以通报行业主管部门、投资主管部门、证券监督管理机构以及有关金融机构。</w:t>
            </w:r>
          </w:p>
        </w:tc>
        <w:tc>
          <w:tcPr>
            <w:tcW w:w="1573" w:type="dxa"/>
            <w:noWrap w:val="0"/>
            <w:vAlign w:val="center"/>
          </w:tcPr>
          <w:p w14:paraId="68564DAE">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73B24273">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701B42A4">
            <w:pPr>
              <w:keepNext w:val="0"/>
              <w:keepLines w:val="0"/>
              <w:pageBreakBefore w:val="0"/>
              <w:widowControl w:val="0"/>
              <w:tabs>
                <w:tab w:val="center" w:pos="4153"/>
                <w:tab w:val="right" w:pos="8306"/>
              </w:tabs>
              <w:kinsoku/>
              <w:wordWrap/>
              <w:autoSpaceDE/>
              <w:autoSpaceDN/>
              <w:bidi w:val="0"/>
              <w:adjustRightInd w:val="0"/>
              <w:snapToGrid w:val="0"/>
              <w:spacing w:line="240" w:lineRule="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存在</w:t>
            </w:r>
            <w:r>
              <w:rPr>
                <w:rFonts w:hint="eastAsia" w:ascii="仿宋" w:hAnsi="仿宋" w:eastAsia="仿宋" w:cs="仿宋"/>
                <w:color w:val="000000" w:themeColor="text1"/>
                <w:sz w:val="24"/>
                <w:szCs w:val="24"/>
                <w:highlight w:val="none"/>
                <w:lang w:eastAsia="zh-CN"/>
                <w14:textFill>
                  <w14:solidFill>
                    <w14:schemeClr w14:val="tx1"/>
                  </w14:solidFill>
                </w14:textFill>
              </w:rPr>
              <w:t>环境污染风险的企业</w:t>
            </w:r>
          </w:p>
        </w:tc>
        <w:tc>
          <w:tcPr>
            <w:tcW w:w="1370" w:type="dxa"/>
            <w:noWrap w:val="0"/>
            <w:vAlign w:val="center"/>
          </w:tcPr>
          <w:p w14:paraId="4CF35430">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环境风险防范情况和环境安全隐患排查治理工作开展情况</w:t>
            </w:r>
          </w:p>
        </w:tc>
        <w:tc>
          <w:tcPr>
            <w:tcW w:w="898" w:type="dxa"/>
            <w:noWrap w:val="0"/>
            <w:vAlign w:val="center"/>
          </w:tcPr>
          <w:p w14:paraId="6C2C3F63">
            <w:pPr>
              <w:keepNext w:val="0"/>
              <w:keepLines w:val="0"/>
              <w:widowControl/>
              <w:suppressLineNumbers w:val="0"/>
              <w:jc w:val="center"/>
              <w:textAlignment w:val="center"/>
              <w:rPr>
                <w:rFonts w:hint="eastAsia" w:ascii="仿宋" w:hAnsi="仿宋" w:eastAsia="仿宋" w:cs="仿宋"/>
                <w:b w:val="0"/>
                <w:bCs w:val="0"/>
                <w:color w:val="000000" w:themeColor="text1"/>
                <w:sz w:val="24"/>
                <w:szCs w:val="24"/>
                <w:highlight w:val="none"/>
                <w:lang w:val="en" w:eastAsia="zh-CN"/>
                <w14:textFill>
                  <w14:solidFill>
                    <w14:schemeClr w14:val="tx1"/>
                  </w14:solidFill>
                </w14:textFill>
              </w:rPr>
            </w:pPr>
            <w:r>
              <w:rPr>
                <w:rFonts w:hint="eastAsia" w:ascii="仿宋" w:hAnsi="仿宋" w:eastAsia="仿宋" w:cs="仿宋"/>
                <w:b w:val="0"/>
                <w:bCs w:val="0"/>
                <w:color w:val="000000" w:themeColor="text1"/>
                <w:sz w:val="24"/>
                <w:szCs w:val="24"/>
                <w:highlight w:val="none"/>
                <w:lang w:val="en" w:eastAsia="zh-CN"/>
                <w14:textFill>
                  <w14:solidFill>
                    <w14:schemeClr w14:val="tx1"/>
                  </w14:solidFill>
                </w14:textFill>
              </w:rPr>
              <w:t>现场检查、非现场检查相结合</w:t>
            </w:r>
          </w:p>
        </w:tc>
        <w:tc>
          <w:tcPr>
            <w:tcW w:w="1386" w:type="dxa"/>
            <w:noWrap w:val="0"/>
            <w:vAlign w:val="center"/>
          </w:tcPr>
          <w:p w14:paraId="77A4B015">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67E4A420">
            <w:pPr>
              <w:widowControl w:val="0"/>
              <w:jc w:val="left"/>
              <w:rPr>
                <w:rFonts w:hint="eastAsia" w:ascii="仿宋" w:hAnsi="仿宋" w:eastAsia="仿宋" w:cs="仿宋"/>
                <w:color w:val="000000" w:themeColor="text1"/>
                <w:sz w:val="24"/>
                <w:szCs w:val="24"/>
                <w:vertAlign w:val="baseline"/>
                <w:lang w:eastAsia="zh-CN"/>
                <w14:textFill>
                  <w14:solidFill>
                    <w14:schemeClr w14:val="tx1"/>
                  </w14:solidFill>
                </w14:textFill>
              </w:rPr>
            </w:pPr>
          </w:p>
        </w:tc>
      </w:tr>
      <w:tr w14:paraId="45B6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8" w:type="dxa"/>
            <w:noWrap w:val="0"/>
            <w:vAlign w:val="center"/>
          </w:tcPr>
          <w:p w14:paraId="77C3BBB9">
            <w:pPr>
              <w:keepNext w:val="0"/>
              <w:keepLines w:val="0"/>
              <w:pageBreakBefore w:val="0"/>
              <w:widowControl w:val="0"/>
              <w:kinsoku/>
              <w:wordWrap/>
              <w:autoSpaceDE/>
              <w:autoSpaceDN/>
              <w:bidi w:val="0"/>
              <w:adjustRightInd w:val="0"/>
              <w:snapToGrid w:val="0"/>
              <w:spacing w:line="240" w:lineRule="auto"/>
              <w:jc w:val="center"/>
              <w:textAlignment w:val="center"/>
              <w:rPr>
                <w:rFonts w:hint="default"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23</w:t>
            </w:r>
          </w:p>
        </w:tc>
        <w:tc>
          <w:tcPr>
            <w:tcW w:w="1723" w:type="dxa"/>
            <w:noWrap w:val="0"/>
            <w:vAlign w:val="center"/>
          </w:tcPr>
          <w:p w14:paraId="21729F89">
            <w:pPr>
              <w:keepNext w:val="0"/>
              <w:keepLines w:val="0"/>
              <w:pageBreakBefore w:val="0"/>
              <w:widowControl w:val="0"/>
              <w:kinsoku/>
              <w:wordWrap/>
              <w:overflowPunct w:val="0"/>
              <w:topLinePunct/>
              <w:autoSpaceDE/>
              <w:autoSpaceDN/>
              <w:bidi w:val="0"/>
              <w:adjustRightInd w:val="0"/>
              <w:snapToGrid w:val="0"/>
              <w:spacing w:line="240" w:lineRule="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对畜禽养殖污染防治情况的行政检查</w:t>
            </w:r>
          </w:p>
        </w:tc>
        <w:tc>
          <w:tcPr>
            <w:tcW w:w="4009" w:type="dxa"/>
            <w:noWrap w:val="0"/>
            <w:vAlign w:val="center"/>
          </w:tcPr>
          <w:p w14:paraId="1A4956B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1.《中华人民共和国环境保护法》（2014年修订）</w:t>
            </w:r>
          </w:p>
          <w:p w14:paraId="5DDC68D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第二十四条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14:paraId="01777D5E">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2.《畜禽规模养殖污染防治条例》（2014年1月1日施行）</w:t>
            </w:r>
          </w:p>
          <w:p w14:paraId="7E9254FC">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第二十三条 县级以上人民政府环境保护主管部门应当依据职责对畜禽养殖污染防治情况进行监督检查，并加强对畜禽养殖环境污染的监测。</w:t>
            </w:r>
          </w:p>
          <w:p w14:paraId="26B24F2A">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乡镇人民政府、基层群众自治组织发现畜禽养殖环境污染行为的，应当及时制止和报告。</w:t>
            </w:r>
          </w:p>
          <w:p w14:paraId="640C9CE1">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3.《湖南省环境保护条例》（2024年修正）</w:t>
            </w:r>
          </w:p>
          <w:p w14:paraId="2B33A063">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kern w:val="2"/>
                <w:sz w:val="24"/>
                <w:szCs w:val="24"/>
                <w:lang w:val="en-US" w:eastAsia="zh-CN" w:bidi="ar"/>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第三十一条 生态环境主管部门及其环境执法机构和其他负有环境保护监督管理职责的部门，有权通过现场检查监测、自动监测、遥感监测、无人机巡查、远红外摄像等方式，对排放污染物的企业事业单位和其他生产经营者，以及环境监测机构、从事环境监测设备运营维护的机构（以下称环境监测服务机构）进行检查。</w:t>
            </w:r>
          </w:p>
          <w:p w14:paraId="36D98698">
            <w:pPr>
              <w:keepNext w:val="0"/>
              <w:keepLines w:val="0"/>
              <w:widowControl w:val="0"/>
              <w:suppressLineNumbers w:val="0"/>
              <w:spacing w:before="0" w:beforeLines="0" w:beforeAutospacing="0" w:after="0" w:afterLines="0" w:afterAutospacing="0"/>
              <w:ind w:left="0" w:leftChars="0" w:right="0" w:rightChars="0" w:firstLine="0" w:firstLineChars="0"/>
              <w:jc w:val="both"/>
              <w:rPr>
                <w:rFonts w:hint="eastAsia" w:ascii="仿宋" w:hAnsi="仿宋" w:eastAsia="仿宋" w:cs="仿宋"/>
                <w:color w:val="000000" w:themeColor="text1"/>
                <w:sz w:val="24"/>
                <w:szCs w:val="24"/>
                <w:highlight w:val="none"/>
                <w:shd w:val="clear" w:color="auto" w:fill="FFFFFF"/>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
                <w14:textFill>
                  <w14:solidFill>
                    <w14:schemeClr w14:val="tx1"/>
                  </w14:solidFill>
                </w14:textFill>
              </w:rPr>
              <w:t>被检查者应当配合检查，如实反映情况，提供必要的资料。</w:t>
            </w:r>
          </w:p>
        </w:tc>
        <w:tc>
          <w:tcPr>
            <w:tcW w:w="1573" w:type="dxa"/>
            <w:noWrap w:val="0"/>
            <w:vAlign w:val="center"/>
          </w:tcPr>
          <w:p w14:paraId="5CC58770">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生态环境主管部门</w:t>
            </w:r>
          </w:p>
        </w:tc>
        <w:tc>
          <w:tcPr>
            <w:tcW w:w="1599" w:type="dxa"/>
            <w:noWrap w:val="0"/>
            <w:vAlign w:val="center"/>
          </w:tcPr>
          <w:p w14:paraId="37641BB9">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highlight w:val="none"/>
                <w:lang w:val="en-US" w:eastAsia="zh-CN" w:bidi="ar-SA"/>
                <w14:textFill>
                  <w14:solidFill>
                    <w14:schemeClr w14:val="tx1"/>
                  </w14:solidFill>
                </w14:textFill>
              </w:rPr>
              <w:t>怀化市生态环境局麻阳分局</w:t>
            </w:r>
            <w:r>
              <w:rPr>
                <w:rFonts w:hint="eastAsia" w:ascii="仿宋" w:hAnsi="仿宋" w:eastAsia="仿宋" w:cs="仿宋"/>
                <w:color w:val="000000" w:themeColor="text1"/>
                <w:sz w:val="24"/>
                <w:szCs w:val="24"/>
                <w:highlight w:val="none"/>
                <w:lang w:val="en-US" w:eastAsia="zh-CN"/>
                <w14:textFill>
                  <w14:solidFill>
                    <w14:schemeClr w14:val="tx1"/>
                  </w14:solidFill>
                </w14:textFill>
              </w:rPr>
              <w:t>承担相应职责的机构</w:t>
            </w:r>
          </w:p>
        </w:tc>
        <w:tc>
          <w:tcPr>
            <w:tcW w:w="1246" w:type="dxa"/>
            <w:noWrap w:val="0"/>
            <w:vAlign w:val="center"/>
          </w:tcPr>
          <w:p w14:paraId="7A0DF04A">
            <w:pPr>
              <w:keepNext w:val="0"/>
              <w:keepLines w:val="0"/>
              <w:pageBreakBefore w:val="0"/>
              <w:widowControl w:val="0"/>
              <w:tabs>
                <w:tab w:val="center" w:pos="4153"/>
                <w:tab w:val="right" w:pos="8306"/>
              </w:tabs>
              <w:kinsoku/>
              <w:wordWrap/>
              <w:autoSpaceDE/>
              <w:autoSpaceDN/>
              <w:bidi w:val="0"/>
              <w:adjustRightInd w:val="0"/>
              <w:snapToGrid w:val="0"/>
              <w:spacing w:line="240" w:lineRule="auto"/>
              <w:rPr>
                <w:rFonts w:hint="eastAsia" w:ascii="仿宋" w:hAnsi="仿宋" w:eastAsia="仿宋" w:cs="仿宋"/>
                <w:color w:val="000000" w:themeColor="text1"/>
                <w:sz w:val="24"/>
                <w:szCs w:val="24"/>
                <w:highlight w:val="none"/>
                <w:lang w:val="en-US"/>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全县畜禽规模养殖场的经营主体</w:t>
            </w:r>
          </w:p>
        </w:tc>
        <w:tc>
          <w:tcPr>
            <w:tcW w:w="1370" w:type="dxa"/>
            <w:noWrap w:val="0"/>
            <w:vAlign w:val="center"/>
          </w:tcPr>
          <w:p w14:paraId="4A88556D">
            <w:pPr>
              <w:keepNext w:val="0"/>
              <w:keepLines w:val="0"/>
              <w:pageBreakBefore w:val="0"/>
              <w:widowControl w:val="0"/>
              <w:kinsoku/>
              <w:wordWrap/>
              <w:overflowPunct w:val="0"/>
              <w:topLinePunct/>
              <w:autoSpaceDE/>
              <w:autoSpaceDN/>
              <w:bidi w:val="0"/>
              <w:adjustRightInd w:val="0"/>
              <w:snapToGrid w:val="0"/>
              <w:spacing w:line="240" w:lineRule="auto"/>
              <w:jc w:val="both"/>
              <w:rPr>
                <w:rFonts w:hint="eastAsia" w:ascii="仿宋" w:hAnsi="仿宋" w:eastAsia="仿宋" w:cs="仿宋"/>
                <w:color w:val="000000" w:themeColor="text1"/>
                <w:sz w:val="24"/>
                <w:szCs w:val="24"/>
                <w:highlight w:val="none"/>
                <w:vertAlign w:val="baseline"/>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重点检查畜禽规模养殖场粪污处理与污染防治设施设备建设运营情况、粪污收集储存转运情况、粪污综合利用情况等</w:t>
            </w:r>
          </w:p>
        </w:tc>
        <w:tc>
          <w:tcPr>
            <w:tcW w:w="898" w:type="dxa"/>
            <w:noWrap w:val="0"/>
            <w:vAlign w:val="center"/>
          </w:tcPr>
          <w:p w14:paraId="4BFD914C">
            <w:pPr>
              <w:keepNext w:val="0"/>
              <w:keepLines w:val="0"/>
              <w:pageBreakBefore w:val="0"/>
              <w:widowControl w:val="0"/>
              <w:kinsoku/>
              <w:wordWrap/>
              <w:autoSpaceDE/>
              <w:autoSpaceDN/>
              <w:bidi w:val="0"/>
              <w:adjustRightInd w:val="0"/>
              <w:snapToGrid w:val="0"/>
              <w:spacing w:line="240" w:lineRule="auto"/>
              <w:jc w:val="both"/>
              <w:textAlignment w:val="center"/>
              <w:rPr>
                <w:rFonts w:hint="eastAsia" w:ascii="仿宋" w:hAnsi="仿宋" w:eastAsia="仿宋" w:cs="仿宋"/>
                <w:bCs/>
                <w:color w:val="000000" w:themeColor="text1"/>
                <w:kern w:val="0"/>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现场检查</w:t>
            </w:r>
          </w:p>
        </w:tc>
        <w:tc>
          <w:tcPr>
            <w:tcW w:w="1386" w:type="dxa"/>
            <w:noWrap w:val="0"/>
            <w:vAlign w:val="center"/>
          </w:tcPr>
          <w:p w14:paraId="6870F1D7">
            <w:pPr>
              <w:keepNext w:val="0"/>
              <w:keepLines w:val="0"/>
              <w:pageBreakBefore w:val="0"/>
              <w:widowControl w:val="0"/>
              <w:kinsoku/>
              <w:wordWrap/>
              <w:autoSpaceDE/>
              <w:autoSpaceDN/>
              <w:bidi w:val="0"/>
              <w:adjustRightInd w:val="0"/>
              <w:snapToGrid w:val="0"/>
              <w:spacing w:line="240" w:lineRule="auto"/>
              <w:jc w:val="center"/>
              <w:textAlignment w:val="center"/>
              <w:rPr>
                <w:rFonts w:hint="eastAsia" w:ascii="仿宋" w:hAnsi="仿宋" w:eastAsia="仿宋" w:cs="仿宋"/>
                <w:bCs/>
                <w:color w:val="000000" w:themeColor="text1"/>
                <w:kern w:val="0"/>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涉企年度行政检查计划执行</w:t>
            </w:r>
          </w:p>
        </w:tc>
        <w:tc>
          <w:tcPr>
            <w:tcW w:w="1406" w:type="dxa"/>
            <w:noWrap w:val="0"/>
            <w:vAlign w:val="center"/>
          </w:tcPr>
          <w:p w14:paraId="5A980060">
            <w:pPr>
              <w:keepNext w:val="0"/>
              <w:keepLines w:val="0"/>
              <w:pageBreakBefore w:val="0"/>
              <w:widowControl w:val="0"/>
              <w:kinsoku/>
              <w:wordWrap/>
              <w:autoSpaceDE/>
              <w:autoSpaceDN/>
              <w:bidi w:val="0"/>
              <w:adjustRightInd w:val="0"/>
              <w:snapToGrid w:val="0"/>
              <w:spacing w:line="240" w:lineRule="auto"/>
              <w:jc w:val="left"/>
              <w:rPr>
                <w:rFonts w:hint="eastAsia" w:ascii="仿宋" w:hAnsi="仿宋" w:eastAsia="仿宋" w:cs="仿宋"/>
                <w:color w:val="000000" w:themeColor="text1"/>
                <w:sz w:val="24"/>
                <w:szCs w:val="24"/>
                <w:highlight w:val="none"/>
                <w:vertAlign w:val="baseline"/>
                <w:lang w:eastAsia="zh-CN"/>
                <w14:textFill>
                  <w14:solidFill>
                    <w14:schemeClr w14:val="tx1"/>
                  </w14:solidFill>
                </w14:textFill>
              </w:rPr>
            </w:pPr>
          </w:p>
        </w:tc>
      </w:tr>
    </w:tbl>
    <w:p w14:paraId="6C05051E">
      <w:pPr>
        <w:widowControl w:val="0"/>
        <w:numPr>
          <w:ilvl w:val="0"/>
          <w:numId w:val="0"/>
        </w:numPr>
        <w:tabs>
          <w:tab w:val="center" w:pos="4153"/>
          <w:tab w:val="right" w:pos="8306"/>
        </w:tabs>
        <w:snapToGrid w:val="0"/>
        <w:spacing w:line="330" w:lineRule="exact"/>
        <w:rPr>
          <w:rFonts w:hint="eastAsia" w:ascii="方正仿宋_GBK" w:hAnsi="方正仿宋_GBK" w:eastAsia="方正仿宋_GBK" w:cs="方正仿宋_GBK"/>
          <w:color w:val="000000" w:themeColor="text1"/>
          <w:sz w:val="24"/>
          <w:szCs w:val="24"/>
          <w:highlight w:val="none"/>
          <w:shd w:val="clear" w:color="auto" w:fill="FFFFFF"/>
          <w:lang w:val="en-US" w:eastAsia="zh-CN"/>
          <w14:textFill>
            <w14:solidFill>
              <w14:schemeClr w14:val="tx1"/>
            </w14:solidFill>
          </w14:textFill>
        </w:rPr>
      </w:pPr>
    </w:p>
    <w:p w14:paraId="709A8D61">
      <w:pPr>
        <w:keepNext w:val="0"/>
        <w:keepLines w:val="0"/>
        <w:pageBreakBefore w:val="0"/>
        <w:widowControl w:val="0"/>
        <w:numPr>
          <w:ilvl w:val="0"/>
          <w:numId w:val="0"/>
        </w:numPr>
        <w:tabs>
          <w:tab w:val="center" w:pos="4153"/>
          <w:tab w:val="right" w:pos="8306"/>
        </w:tabs>
        <w:kinsoku/>
        <w:wordWrap/>
        <w:overflowPunct/>
        <w:topLinePunct w:val="0"/>
        <w:autoSpaceDE/>
        <w:autoSpaceDN/>
        <w:bidi w:val="0"/>
        <w:adjustRightInd/>
        <w:snapToGrid w:val="0"/>
        <w:spacing w:line="600" w:lineRule="exact"/>
        <w:textAlignment w:val="baseline"/>
        <w:rPr>
          <w:rFonts w:hint="eastAsia" w:ascii="宋体" w:hAnsi="宋体" w:eastAsia="宋体" w:cs="宋体"/>
          <w:b/>
          <w:bCs/>
          <w:color w:val="000000" w:themeColor="text1"/>
          <w:sz w:val="44"/>
          <w:szCs w:val="44"/>
          <w:highlight w:val="none"/>
          <w:shd w:val="clear" w:color="auto" w:fill="FFFFFF"/>
          <w:lang w:val="en-US" w:eastAsia="zh-CN"/>
          <w14:textFill>
            <w14:solidFill>
              <w14:schemeClr w14:val="tx1"/>
            </w14:solidFill>
          </w14:textFill>
        </w:rPr>
      </w:pPr>
    </w:p>
    <w:sectPr>
      <w:footerReference r:id="rId3" w:type="default"/>
      <w:pgSz w:w="16834" w:h="11909" w:orient="landscape"/>
      <w:pgMar w:top="1803" w:right="1440" w:bottom="1803" w:left="1440"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2000000000000000000"/>
    <w:charset w:val="86"/>
    <w:family w:val="auto"/>
    <w:pitch w:val="default"/>
    <w:sig w:usb0="00000000" w:usb1="00000000" w:usb2="00082016" w:usb3="00000000" w:csb0="00040001" w:csb1="00000000"/>
  </w:font>
  <w:font w:name="KSOFD8A2803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58E0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5E735">
                          <w:pPr>
                            <w:pStyle w:val="4"/>
                            <w:rPr>
                              <w:sz w:val="24"/>
                              <w:szCs w:val="24"/>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45E735">
                    <w:pPr>
                      <w:pStyle w:val="4"/>
                      <w:rPr>
                        <w:sz w:val="24"/>
                        <w:szCs w:val="24"/>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A71C8F"/>
    <w:multiLevelType w:val="singleLevel"/>
    <w:tmpl w:val="E1A71C8F"/>
    <w:lvl w:ilvl="0" w:tentative="0">
      <w:start w:val="6"/>
      <w:numFmt w:val="decimal"/>
      <w:lvlText w:val="%1."/>
      <w:lvlJc w:val="left"/>
      <w:pPr>
        <w:tabs>
          <w:tab w:val="left" w:pos="312"/>
        </w:tabs>
      </w:pPr>
    </w:lvl>
  </w:abstractNum>
  <w:abstractNum w:abstractNumId="1">
    <w:nsid w:val="FADF4367"/>
    <w:multiLevelType w:val="singleLevel"/>
    <w:tmpl w:val="FADF436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2MjE4MzI2MjM5M2YyN2RmZTg3MzUzYzMzMzljMTcifQ=="/>
    <w:docVar w:name="KSO_WPS_MARK_KEY" w:val="df63a08d-d346-4d4a-8697-e20298cf7f74"/>
  </w:docVars>
  <w:rsids>
    <w:rsidRoot w:val="D7FB87B6"/>
    <w:rsid w:val="00744E84"/>
    <w:rsid w:val="009C7021"/>
    <w:rsid w:val="00D24C84"/>
    <w:rsid w:val="013078D4"/>
    <w:rsid w:val="013E4AD1"/>
    <w:rsid w:val="01D86637"/>
    <w:rsid w:val="021178E3"/>
    <w:rsid w:val="0262292C"/>
    <w:rsid w:val="02B7624C"/>
    <w:rsid w:val="02ED7EC0"/>
    <w:rsid w:val="033A0C2B"/>
    <w:rsid w:val="05C22E36"/>
    <w:rsid w:val="064D5B42"/>
    <w:rsid w:val="0687062B"/>
    <w:rsid w:val="06936FD0"/>
    <w:rsid w:val="06E23AB3"/>
    <w:rsid w:val="071008CB"/>
    <w:rsid w:val="07F824A4"/>
    <w:rsid w:val="0874698D"/>
    <w:rsid w:val="08955281"/>
    <w:rsid w:val="08BC77D3"/>
    <w:rsid w:val="08D35DAA"/>
    <w:rsid w:val="09440A55"/>
    <w:rsid w:val="0A170C0C"/>
    <w:rsid w:val="0A27015B"/>
    <w:rsid w:val="0A883B6D"/>
    <w:rsid w:val="0AB319EF"/>
    <w:rsid w:val="0B5C3E34"/>
    <w:rsid w:val="0B5D1E24"/>
    <w:rsid w:val="0BEF300C"/>
    <w:rsid w:val="0C872DD2"/>
    <w:rsid w:val="0D137432"/>
    <w:rsid w:val="0DE53B54"/>
    <w:rsid w:val="0EDF580B"/>
    <w:rsid w:val="0FD541B5"/>
    <w:rsid w:val="1220072A"/>
    <w:rsid w:val="12CD73C6"/>
    <w:rsid w:val="143F062B"/>
    <w:rsid w:val="15056EBF"/>
    <w:rsid w:val="1635775C"/>
    <w:rsid w:val="17325029"/>
    <w:rsid w:val="17CF5275"/>
    <w:rsid w:val="17DB4333"/>
    <w:rsid w:val="17DE8129"/>
    <w:rsid w:val="17F20C4D"/>
    <w:rsid w:val="18331C91"/>
    <w:rsid w:val="18892CD0"/>
    <w:rsid w:val="18FA4C14"/>
    <w:rsid w:val="197131A1"/>
    <w:rsid w:val="198A6011"/>
    <w:rsid w:val="1A122C2B"/>
    <w:rsid w:val="1AE856E5"/>
    <w:rsid w:val="1AF6DA01"/>
    <w:rsid w:val="1B3A5C69"/>
    <w:rsid w:val="1B401D9C"/>
    <w:rsid w:val="1B4D5548"/>
    <w:rsid w:val="1BA22798"/>
    <w:rsid w:val="1BFC128C"/>
    <w:rsid w:val="1C281B11"/>
    <w:rsid w:val="1C4F3541"/>
    <w:rsid w:val="1C8054A9"/>
    <w:rsid w:val="1CA23671"/>
    <w:rsid w:val="1CD7325E"/>
    <w:rsid w:val="1CFFC965"/>
    <w:rsid w:val="1DEF28E6"/>
    <w:rsid w:val="1E273B77"/>
    <w:rsid w:val="1F262338"/>
    <w:rsid w:val="1F572402"/>
    <w:rsid w:val="1F72557D"/>
    <w:rsid w:val="1FD45EBA"/>
    <w:rsid w:val="200B7C44"/>
    <w:rsid w:val="208C7505"/>
    <w:rsid w:val="208E72F4"/>
    <w:rsid w:val="20EE3329"/>
    <w:rsid w:val="21472A39"/>
    <w:rsid w:val="22EE7610"/>
    <w:rsid w:val="23C242A0"/>
    <w:rsid w:val="2409047A"/>
    <w:rsid w:val="24521E21"/>
    <w:rsid w:val="24A00C57"/>
    <w:rsid w:val="24A0493A"/>
    <w:rsid w:val="24B40352"/>
    <w:rsid w:val="24C660A9"/>
    <w:rsid w:val="253F4153"/>
    <w:rsid w:val="263A59A6"/>
    <w:rsid w:val="26D7756B"/>
    <w:rsid w:val="279D4F06"/>
    <w:rsid w:val="28042401"/>
    <w:rsid w:val="283917B1"/>
    <w:rsid w:val="28CE1BFE"/>
    <w:rsid w:val="295E3016"/>
    <w:rsid w:val="2AE80DE9"/>
    <w:rsid w:val="2B54647E"/>
    <w:rsid w:val="2B6F73AF"/>
    <w:rsid w:val="2BD15D21"/>
    <w:rsid w:val="2BECCFE5"/>
    <w:rsid w:val="2CAB0320"/>
    <w:rsid w:val="2CD31625"/>
    <w:rsid w:val="2CFC1F4F"/>
    <w:rsid w:val="2CFE2B46"/>
    <w:rsid w:val="2D1D7A9D"/>
    <w:rsid w:val="2DAE631A"/>
    <w:rsid w:val="2DAFB192"/>
    <w:rsid w:val="2DF30354"/>
    <w:rsid w:val="2DF950BB"/>
    <w:rsid w:val="2EBBD70D"/>
    <w:rsid w:val="2EE10029"/>
    <w:rsid w:val="2EFDB488"/>
    <w:rsid w:val="2FCBC003"/>
    <w:rsid w:val="2FDA10EF"/>
    <w:rsid w:val="2FEF9786"/>
    <w:rsid w:val="2FF95A97"/>
    <w:rsid w:val="30135AB6"/>
    <w:rsid w:val="302757D8"/>
    <w:rsid w:val="3071362F"/>
    <w:rsid w:val="307C7F98"/>
    <w:rsid w:val="309F1F4A"/>
    <w:rsid w:val="31C0661C"/>
    <w:rsid w:val="31F43B9D"/>
    <w:rsid w:val="325A1E78"/>
    <w:rsid w:val="32892EB1"/>
    <w:rsid w:val="346702DF"/>
    <w:rsid w:val="34871673"/>
    <w:rsid w:val="3541CB68"/>
    <w:rsid w:val="35482FA8"/>
    <w:rsid w:val="357F67EE"/>
    <w:rsid w:val="35814D3A"/>
    <w:rsid w:val="359EE00A"/>
    <w:rsid w:val="35DFBAE3"/>
    <w:rsid w:val="361231BE"/>
    <w:rsid w:val="36C7CCAF"/>
    <w:rsid w:val="371B4CAC"/>
    <w:rsid w:val="377A726D"/>
    <w:rsid w:val="37DDB126"/>
    <w:rsid w:val="37F33FA3"/>
    <w:rsid w:val="3821593A"/>
    <w:rsid w:val="3830233C"/>
    <w:rsid w:val="386A52B1"/>
    <w:rsid w:val="388031C9"/>
    <w:rsid w:val="38D8A29D"/>
    <w:rsid w:val="39F722F7"/>
    <w:rsid w:val="3A5405D4"/>
    <w:rsid w:val="3A546726"/>
    <w:rsid w:val="3A7BE63F"/>
    <w:rsid w:val="3AD2ECE3"/>
    <w:rsid w:val="3B53405D"/>
    <w:rsid w:val="3BC963CC"/>
    <w:rsid w:val="3D121CF5"/>
    <w:rsid w:val="3D3A1978"/>
    <w:rsid w:val="3D3CB8E5"/>
    <w:rsid w:val="3EBA7944"/>
    <w:rsid w:val="3EBE85F9"/>
    <w:rsid w:val="3EC534C3"/>
    <w:rsid w:val="3ED41958"/>
    <w:rsid w:val="3EE7B831"/>
    <w:rsid w:val="3EF80DD0"/>
    <w:rsid w:val="3F5EE751"/>
    <w:rsid w:val="3F762A0F"/>
    <w:rsid w:val="3F9BE318"/>
    <w:rsid w:val="3FABB395"/>
    <w:rsid w:val="3FAD720A"/>
    <w:rsid w:val="3FDBCC7A"/>
    <w:rsid w:val="400D43C9"/>
    <w:rsid w:val="40896D0A"/>
    <w:rsid w:val="40DE4A17"/>
    <w:rsid w:val="4182569C"/>
    <w:rsid w:val="41AA69A0"/>
    <w:rsid w:val="41FF49CF"/>
    <w:rsid w:val="424E37D0"/>
    <w:rsid w:val="42F03815"/>
    <w:rsid w:val="430257C7"/>
    <w:rsid w:val="43056584"/>
    <w:rsid w:val="437B6009"/>
    <w:rsid w:val="43AA2C88"/>
    <w:rsid w:val="442320B6"/>
    <w:rsid w:val="44627A06"/>
    <w:rsid w:val="44913E48"/>
    <w:rsid w:val="44DC50C3"/>
    <w:rsid w:val="45392A63"/>
    <w:rsid w:val="45D4223E"/>
    <w:rsid w:val="47B91374"/>
    <w:rsid w:val="47C12537"/>
    <w:rsid w:val="47F3E157"/>
    <w:rsid w:val="47F70D64"/>
    <w:rsid w:val="48B849C0"/>
    <w:rsid w:val="490F5704"/>
    <w:rsid w:val="49815FDD"/>
    <w:rsid w:val="4A3C5DF5"/>
    <w:rsid w:val="4A6F0787"/>
    <w:rsid w:val="4B2772B4"/>
    <w:rsid w:val="4B3A6FE7"/>
    <w:rsid w:val="4BFBC300"/>
    <w:rsid w:val="4C0F5D7E"/>
    <w:rsid w:val="4C4E4D50"/>
    <w:rsid w:val="4C83051A"/>
    <w:rsid w:val="4D1F2772"/>
    <w:rsid w:val="4DDFA0F7"/>
    <w:rsid w:val="4ED82D9F"/>
    <w:rsid w:val="4F583EE0"/>
    <w:rsid w:val="4F806F93"/>
    <w:rsid w:val="4F9FF528"/>
    <w:rsid w:val="50EC0779"/>
    <w:rsid w:val="512704E7"/>
    <w:rsid w:val="51340035"/>
    <w:rsid w:val="51F26321"/>
    <w:rsid w:val="532C2DD7"/>
    <w:rsid w:val="533575BC"/>
    <w:rsid w:val="5336A6D7"/>
    <w:rsid w:val="538F3C48"/>
    <w:rsid w:val="54234451"/>
    <w:rsid w:val="5462436F"/>
    <w:rsid w:val="55820BAD"/>
    <w:rsid w:val="55D47ADF"/>
    <w:rsid w:val="564D66AA"/>
    <w:rsid w:val="56723AD9"/>
    <w:rsid w:val="56AA7DBD"/>
    <w:rsid w:val="56BE6D1E"/>
    <w:rsid w:val="56D53F78"/>
    <w:rsid w:val="57045E05"/>
    <w:rsid w:val="57334259"/>
    <w:rsid w:val="573B6503"/>
    <w:rsid w:val="57430FD1"/>
    <w:rsid w:val="57B44DFF"/>
    <w:rsid w:val="57F624E8"/>
    <w:rsid w:val="57FE81F8"/>
    <w:rsid w:val="58207565"/>
    <w:rsid w:val="58B79979"/>
    <w:rsid w:val="58C425E6"/>
    <w:rsid w:val="593F4A2D"/>
    <w:rsid w:val="5955323E"/>
    <w:rsid w:val="59CB1173"/>
    <w:rsid w:val="59F96F11"/>
    <w:rsid w:val="5ABDA5E8"/>
    <w:rsid w:val="5B7BBAD3"/>
    <w:rsid w:val="5BBAC365"/>
    <w:rsid w:val="5BE523F7"/>
    <w:rsid w:val="5BFF4705"/>
    <w:rsid w:val="5BFF6869"/>
    <w:rsid w:val="5CC81BAF"/>
    <w:rsid w:val="5CFB0BCE"/>
    <w:rsid w:val="5CFF194F"/>
    <w:rsid w:val="5D267DAB"/>
    <w:rsid w:val="5E072442"/>
    <w:rsid w:val="5E287173"/>
    <w:rsid w:val="5E9F383E"/>
    <w:rsid w:val="5EB2F4CC"/>
    <w:rsid w:val="5EFEF94D"/>
    <w:rsid w:val="5F27742B"/>
    <w:rsid w:val="5F77E87C"/>
    <w:rsid w:val="5FBB3EC2"/>
    <w:rsid w:val="5FBFF1E6"/>
    <w:rsid w:val="5FEBE819"/>
    <w:rsid w:val="5FF26E57"/>
    <w:rsid w:val="5FF5ADE3"/>
    <w:rsid w:val="5FFCEA6F"/>
    <w:rsid w:val="60107D6C"/>
    <w:rsid w:val="603F010C"/>
    <w:rsid w:val="60C8737A"/>
    <w:rsid w:val="612F6807"/>
    <w:rsid w:val="64393E88"/>
    <w:rsid w:val="64432611"/>
    <w:rsid w:val="64B234DE"/>
    <w:rsid w:val="65420B1A"/>
    <w:rsid w:val="654E1EE5"/>
    <w:rsid w:val="65EDBAA4"/>
    <w:rsid w:val="662875FC"/>
    <w:rsid w:val="664A1A2C"/>
    <w:rsid w:val="66B01F6A"/>
    <w:rsid w:val="674D37A6"/>
    <w:rsid w:val="67A01E99"/>
    <w:rsid w:val="67ED69EC"/>
    <w:rsid w:val="67EEF67F"/>
    <w:rsid w:val="6967283B"/>
    <w:rsid w:val="696848C8"/>
    <w:rsid w:val="6A295995"/>
    <w:rsid w:val="6B741C4A"/>
    <w:rsid w:val="6B745C8F"/>
    <w:rsid w:val="6BACE21A"/>
    <w:rsid w:val="6BB54225"/>
    <w:rsid w:val="6BDF3FD8"/>
    <w:rsid w:val="6C3B104D"/>
    <w:rsid w:val="6C3B4B9F"/>
    <w:rsid w:val="6C5775A1"/>
    <w:rsid w:val="6CC54BBE"/>
    <w:rsid w:val="6D0A5298"/>
    <w:rsid w:val="6D3F2693"/>
    <w:rsid w:val="6D69232C"/>
    <w:rsid w:val="6DB56E82"/>
    <w:rsid w:val="6DFA6BF8"/>
    <w:rsid w:val="6DFB5FF3"/>
    <w:rsid w:val="6E315BD0"/>
    <w:rsid w:val="6E804989"/>
    <w:rsid w:val="6FBACFE8"/>
    <w:rsid w:val="6FBDBDFF"/>
    <w:rsid w:val="6FE960B8"/>
    <w:rsid w:val="6FF1FFDC"/>
    <w:rsid w:val="6FFBCC0A"/>
    <w:rsid w:val="70193B73"/>
    <w:rsid w:val="707350BA"/>
    <w:rsid w:val="71BF4E24"/>
    <w:rsid w:val="71ED0060"/>
    <w:rsid w:val="71F72C8D"/>
    <w:rsid w:val="725D6F93"/>
    <w:rsid w:val="7272DD7D"/>
    <w:rsid w:val="737D76DA"/>
    <w:rsid w:val="73BF74EB"/>
    <w:rsid w:val="73E07E7C"/>
    <w:rsid w:val="73FB1021"/>
    <w:rsid w:val="74081181"/>
    <w:rsid w:val="745254FC"/>
    <w:rsid w:val="74F160B9"/>
    <w:rsid w:val="751625FE"/>
    <w:rsid w:val="75CD61DE"/>
    <w:rsid w:val="75EA26BB"/>
    <w:rsid w:val="76876993"/>
    <w:rsid w:val="76C3673C"/>
    <w:rsid w:val="76E922A4"/>
    <w:rsid w:val="76EEBF22"/>
    <w:rsid w:val="7711659E"/>
    <w:rsid w:val="772702D9"/>
    <w:rsid w:val="772B977D"/>
    <w:rsid w:val="7731279D"/>
    <w:rsid w:val="77778B55"/>
    <w:rsid w:val="77844FC2"/>
    <w:rsid w:val="77AD48D0"/>
    <w:rsid w:val="77B37656"/>
    <w:rsid w:val="77B9BE8C"/>
    <w:rsid w:val="77DE19F9"/>
    <w:rsid w:val="77DF8D0D"/>
    <w:rsid w:val="77E617D9"/>
    <w:rsid w:val="77EB7CEF"/>
    <w:rsid w:val="781225CE"/>
    <w:rsid w:val="78DF17A2"/>
    <w:rsid w:val="78E82BFA"/>
    <w:rsid w:val="7922469C"/>
    <w:rsid w:val="7977461B"/>
    <w:rsid w:val="79782D4F"/>
    <w:rsid w:val="79970D77"/>
    <w:rsid w:val="79D53D96"/>
    <w:rsid w:val="79EF4322"/>
    <w:rsid w:val="7A322863"/>
    <w:rsid w:val="7AE722FB"/>
    <w:rsid w:val="7AEF742A"/>
    <w:rsid w:val="7B795B58"/>
    <w:rsid w:val="7B7E0AC2"/>
    <w:rsid w:val="7B7F7A61"/>
    <w:rsid w:val="7B9D5774"/>
    <w:rsid w:val="7B9F65EF"/>
    <w:rsid w:val="7BBBE3CB"/>
    <w:rsid w:val="7BCE79B7"/>
    <w:rsid w:val="7BCEA6FC"/>
    <w:rsid w:val="7BD61BD7"/>
    <w:rsid w:val="7BED941C"/>
    <w:rsid w:val="7BF215E9"/>
    <w:rsid w:val="7BFBA205"/>
    <w:rsid w:val="7C240B22"/>
    <w:rsid w:val="7C58FA8E"/>
    <w:rsid w:val="7D39527B"/>
    <w:rsid w:val="7D451D9F"/>
    <w:rsid w:val="7D7F5C9F"/>
    <w:rsid w:val="7DAB2F3C"/>
    <w:rsid w:val="7DAF4E64"/>
    <w:rsid w:val="7DBFBE96"/>
    <w:rsid w:val="7DE71E07"/>
    <w:rsid w:val="7DEE437A"/>
    <w:rsid w:val="7DFB5663"/>
    <w:rsid w:val="7DFFD65B"/>
    <w:rsid w:val="7E5D3781"/>
    <w:rsid w:val="7E5E02D2"/>
    <w:rsid w:val="7EB638B8"/>
    <w:rsid w:val="7EB7D837"/>
    <w:rsid w:val="7EEBF957"/>
    <w:rsid w:val="7EF705B8"/>
    <w:rsid w:val="7EFF55A5"/>
    <w:rsid w:val="7F1C592A"/>
    <w:rsid w:val="7F3925E5"/>
    <w:rsid w:val="7F4B7419"/>
    <w:rsid w:val="7F5E6F27"/>
    <w:rsid w:val="7F5F0F40"/>
    <w:rsid w:val="7F606315"/>
    <w:rsid w:val="7F6FBC77"/>
    <w:rsid w:val="7F77BA72"/>
    <w:rsid w:val="7F7D4786"/>
    <w:rsid w:val="7F8B3294"/>
    <w:rsid w:val="7F9AC3E0"/>
    <w:rsid w:val="7FDBB3A1"/>
    <w:rsid w:val="7FEF9C25"/>
    <w:rsid w:val="7FF1B8D0"/>
    <w:rsid w:val="7FF573B4"/>
    <w:rsid w:val="7FFA0A21"/>
    <w:rsid w:val="7FFA771A"/>
    <w:rsid w:val="7FFBE844"/>
    <w:rsid w:val="7FFE9F61"/>
    <w:rsid w:val="7FFF3F0E"/>
    <w:rsid w:val="7FFFFD9F"/>
    <w:rsid w:val="8257BC9E"/>
    <w:rsid w:val="873DC599"/>
    <w:rsid w:val="89DBAEAA"/>
    <w:rsid w:val="8BBB928D"/>
    <w:rsid w:val="8DF96D12"/>
    <w:rsid w:val="9D3D56B6"/>
    <w:rsid w:val="9D7F5001"/>
    <w:rsid w:val="9EBF7CBE"/>
    <w:rsid w:val="9ED727B6"/>
    <w:rsid w:val="9F8FF19C"/>
    <w:rsid w:val="9FDE4320"/>
    <w:rsid w:val="A57D623D"/>
    <w:rsid w:val="A6F76C62"/>
    <w:rsid w:val="AA3F11A6"/>
    <w:rsid w:val="AABE3B66"/>
    <w:rsid w:val="ABF8D8AE"/>
    <w:rsid w:val="AD390538"/>
    <w:rsid w:val="AE793A6C"/>
    <w:rsid w:val="AF9C876B"/>
    <w:rsid w:val="AFFBB701"/>
    <w:rsid w:val="B3DB375B"/>
    <w:rsid w:val="B66F036E"/>
    <w:rsid w:val="B6BF05F4"/>
    <w:rsid w:val="BABE3C31"/>
    <w:rsid w:val="BADBA595"/>
    <w:rsid w:val="BBF55A1D"/>
    <w:rsid w:val="BCD42FE0"/>
    <w:rsid w:val="BDFCE12A"/>
    <w:rsid w:val="BE4FF0A2"/>
    <w:rsid w:val="BE7BE60B"/>
    <w:rsid w:val="BEDD51F4"/>
    <w:rsid w:val="BEFF90E2"/>
    <w:rsid w:val="BFAE37F4"/>
    <w:rsid w:val="BFBFF5E2"/>
    <w:rsid w:val="BFD5A4B1"/>
    <w:rsid w:val="BFF98DA7"/>
    <w:rsid w:val="BFFD3BF5"/>
    <w:rsid w:val="C35F7942"/>
    <w:rsid w:val="C5DFEA75"/>
    <w:rsid w:val="C9FFC23D"/>
    <w:rsid w:val="CCAC30CE"/>
    <w:rsid w:val="CEEFD67E"/>
    <w:rsid w:val="CFEB2DEA"/>
    <w:rsid w:val="D027123A"/>
    <w:rsid w:val="D3DAFCBA"/>
    <w:rsid w:val="D7CBD349"/>
    <w:rsid w:val="D7DDB229"/>
    <w:rsid w:val="D7F1FE30"/>
    <w:rsid w:val="D7FB87B6"/>
    <w:rsid w:val="D8DD9AF2"/>
    <w:rsid w:val="D97533A1"/>
    <w:rsid w:val="D97DA692"/>
    <w:rsid w:val="DAB4074A"/>
    <w:rsid w:val="DAC3F0BF"/>
    <w:rsid w:val="DAFFD443"/>
    <w:rsid w:val="DBBE4EFA"/>
    <w:rsid w:val="DBFB6C70"/>
    <w:rsid w:val="DE8BBA5F"/>
    <w:rsid w:val="DEF3898F"/>
    <w:rsid w:val="DEFE2231"/>
    <w:rsid w:val="DFE66715"/>
    <w:rsid w:val="DFEF7178"/>
    <w:rsid w:val="DFF6E559"/>
    <w:rsid w:val="DFFD6694"/>
    <w:rsid w:val="DFFED934"/>
    <w:rsid w:val="DFFFEACA"/>
    <w:rsid w:val="E2EBD9C8"/>
    <w:rsid w:val="E70458BA"/>
    <w:rsid w:val="E73567A3"/>
    <w:rsid w:val="E75F3D02"/>
    <w:rsid w:val="E7675AD4"/>
    <w:rsid w:val="E77F7663"/>
    <w:rsid w:val="EBEDB165"/>
    <w:rsid w:val="EC7B9CC3"/>
    <w:rsid w:val="ECBFC14B"/>
    <w:rsid w:val="ED3B651D"/>
    <w:rsid w:val="ED651A30"/>
    <w:rsid w:val="EDBFCE11"/>
    <w:rsid w:val="EEEF45B2"/>
    <w:rsid w:val="EEFF5F06"/>
    <w:rsid w:val="EEFFEBC9"/>
    <w:rsid w:val="EF7D56AA"/>
    <w:rsid w:val="EFDE7A36"/>
    <w:rsid w:val="EFEFADEE"/>
    <w:rsid w:val="EFF12C67"/>
    <w:rsid w:val="EFF7B493"/>
    <w:rsid w:val="EFFEB42D"/>
    <w:rsid w:val="EFFECF41"/>
    <w:rsid w:val="EFFFD5A1"/>
    <w:rsid w:val="F2F922E6"/>
    <w:rsid w:val="F336EFD0"/>
    <w:rsid w:val="F3FFE366"/>
    <w:rsid w:val="F41FB0B2"/>
    <w:rsid w:val="F525B3A8"/>
    <w:rsid w:val="F568BA10"/>
    <w:rsid w:val="F57F099A"/>
    <w:rsid w:val="F5BF0818"/>
    <w:rsid w:val="F5FB4B25"/>
    <w:rsid w:val="F5FC7ADE"/>
    <w:rsid w:val="F67FD6BA"/>
    <w:rsid w:val="F7751199"/>
    <w:rsid w:val="F7979DA0"/>
    <w:rsid w:val="F79D317E"/>
    <w:rsid w:val="F7BEE074"/>
    <w:rsid w:val="F7EDDAE7"/>
    <w:rsid w:val="F7F962A3"/>
    <w:rsid w:val="F7FF8411"/>
    <w:rsid w:val="F8A48887"/>
    <w:rsid w:val="F8B532EC"/>
    <w:rsid w:val="F8F27C2E"/>
    <w:rsid w:val="F979BDF7"/>
    <w:rsid w:val="FABDAF59"/>
    <w:rsid w:val="FAEF05F2"/>
    <w:rsid w:val="FAFC25E6"/>
    <w:rsid w:val="FB5B5A71"/>
    <w:rsid w:val="FB7A60EC"/>
    <w:rsid w:val="FBB7A50B"/>
    <w:rsid w:val="FBFBEE21"/>
    <w:rsid w:val="FBFD44E0"/>
    <w:rsid w:val="FBFEFC7E"/>
    <w:rsid w:val="FBFF9C87"/>
    <w:rsid w:val="FCBDBA2D"/>
    <w:rsid w:val="FCEF70C6"/>
    <w:rsid w:val="FCFA6316"/>
    <w:rsid w:val="FDFBAC79"/>
    <w:rsid w:val="FDFE0828"/>
    <w:rsid w:val="FE7710FE"/>
    <w:rsid w:val="FEBCF3FF"/>
    <w:rsid w:val="FEBD6BBB"/>
    <w:rsid w:val="FEF130DE"/>
    <w:rsid w:val="FEFB4FF6"/>
    <w:rsid w:val="FEFBDC40"/>
    <w:rsid w:val="FEFBE82C"/>
    <w:rsid w:val="FEFD8401"/>
    <w:rsid w:val="FEFF0422"/>
    <w:rsid w:val="FF137DBD"/>
    <w:rsid w:val="FF259DE8"/>
    <w:rsid w:val="FF4BF764"/>
    <w:rsid w:val="FF6D9193"/>
    <w:rsid w:val="FF75DCC6"/>
    <w:rsid w:val="FF79AEC2"/>
    <w:rsid w:val="FF7F9722"/>
    <w:rsid w:val="FF919E9B"/>
    <w:rsid w:val="FFB6D138"/>
    <w:rsid w:val="FFB90B2C"/>
    <w:rsid w:val="FFBC22EB"/>
    <w:rsid w:val="FFCF9FCB"/>
    <w:rsid w:val="FFDD784E"/>
    <w:rsid w:val="FFDFDFFC"/>
    <w:rsid w:val="FFEF4721"/>
    <w:rsid w:val="FFF62A50"/>
    <w:rsid w:val="FFF656FF"/>
    <w:rsid w:val="FFF7B8C0"/>
    <w:rsid w:val="FFFE035C"/>
    <w:rsid w:val="FFFE58B4"/>
    <w:rsid w:val="FFFE7E86"/>
    <w:rsid w:val="FFFF21AC"/>
    <w:rsid w:val="FFFFE6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jc w:val="both"/>
      <w:textAlignment w:val="baseline"/>
    </w:pPr>
    <w:rPr>
      <w:rFonts w:ascii="Times New Roman" w:hAnsi="Times New Roman" w:eastAsia="宋体" w:cs="Times New Roman"/>
      <w:kern w:val="2"/>
      <w:sz w:val="21"/>
      <w:szCs w:val="22"/>
      <w:lang w:val="en-US" w:eastAsia="zh-CN" w:bidi="ar-SA"/>
    </w:rPr>
  </w:style>
  <w:style w:type="paragraph" w:styleId="3">
    <w:name w:val="Body Text Indent 2"/>
    <w:basedOn w:val="1"/>
    <w:next w:val="1"/>
    <w:qFormat/>
    <w:uiPriority w:val="0"/>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01"/>
    <w:basedOn w:val="9"/>
    <w:qFormat/>
    <w:uiPriority w:val="0"/>
    <w:rPr>
      <w:rFonts w:hint="eastAsia" w:ascii="方正仿宋_GBK" w:hAnsi="方正仿宋_GBK" w:eastAsia="方正仿宋_GBK" w:cs="方正仿宋_GBK"/>
      <w:color w:val="000000"/>
      <w:sz w:val="24"/>
      <w:szCs w:val="24"/>
      <w:u w:val="none"/>
    </w:rPr>
  </w:style>
  <w:style w:type="character" w:customStyle="1" w:styleId="11">
    <w:name w:val="font11"/>
    <w:basedOn w:val="9"/>
    <w:qFormat/>
    <w:uiPriority w:val="0"/>
    <w:rPr>
      <w:rFonts w:hint="default" w:ascii="仿宋_GB2312" w:eastAsia="仿宋_GB2312" w:cs="仿宋_GB2312"/>
      <w:b/>
      <w:bCs/>
      <w:color w:val="000000"/>
      <w:sz w:val="32"/>
      <w:szCs w:val="32"/>
      <w:u w:val="none"/>
    </w:rPr>
  </w:style>
  <w:style w:type="character" w:customStyle="1" w:styleId="12">
    <w:name w:val="font21"/>
    <w:basedOn w:val="9"/>
    <w:qFormat/>
    <w:uiPriority w:val="0"/>
    <w:rPr>
      <w:rFonts w:ascii="仿宋" w:hAnsi="仿宋" w:eastAsia="仿宋" w:cs="仿宋"/>
      <w:b/>
      <w:bCs/>
      <w:color w:val="000000"/>
      <w:sz w:val="24"/>
      <w:szCs w:val="24"/>
      <w:u w:val="none"/>
    </w:rPr>
  </w:style>
  <w:style w:type="character" w:customStyle="1" w:styleId="13">
    <w:name w:val="font31"/>
    <w:basedOn w:val="9"/>
    <w:qFormat/>
    <w:uiPriority w:val="0"/>
    <w:rPr>
      <w:rFonts w:hint="default" w:ascii="Arial" w:hAnsi="Arial" w:cs="Arial"/>
      <w:b/>
      <w:bCs/>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3664</Words>
  <Characters>3750</Characters>
  <Lines>0</Lines>
  <Paragraphs>0</Paragraphs>
  <TotalTime>246</TotalTime>
  <ScaleCrop>false</ScaleCrop>
  <LinksUpToDate>false</LinksUpToDate>
  <CharactersWithSpaces>3766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2025-01-04T02:45:00Z</dcterms:created>
  <dc:creator>法律顾问</dc:creator>
  <cp:lastModifiedBy>一九九几的老故事-</cp:lastModifiedBy>
  <cp:lastPrinted>2025-02-28T15:53:00Z</cp:lastPrinted>
  <dcterms:modified xsi:type="dcterms:W3CDTF">2026-06-22T07:01:52Z</dcterms:modified>
  <dc:title>生态环境涉企行政检查事项清单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9FCC94E9F61D43CDA579F31AA1E67866_13</vt:lpwstr>
  </property>
  <property fmtid="{D5CDD505-2E9C-101B-9397-08002B2CF9AE}" pid="4" name="KSOTemplateDocerSaveRecord">
    <vt:lpwstr>eyJoZGlkIjoiODg1OTc4YjBiNDc1MGMyZGYwZDMyMTJjMWVkODIyNjQiLCJ1c2VySWQiOiIyNTYzNDIxOTMifQ==</vt:lpwstr>
  </property>
</Properties>
</file>