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789B9B">
      <w:pPr>
        <w:jc w:val="center"/>
        <w:rPr>
          <w:rFonts w:hint="eastAsia" w:ascii="宋体" w:hAnsi="宋体" w:eastAsia="宋体" w:cs="宋体"/>
          <w:b/>
          <w:bCs/>
          <w:sz w:val="44"/>
          <w:szCs w:val="52"/>
          <w:lang w:val="en-US" w:eastAsia="zh-CN"/>
        </w:rPr>
      </w:pPr>
      <w:r>
        <w:rPr>
          <w:rFonts w:hint="eastAsia" w:ascii="宋体" w:hAnsi="宋体" w:eastAsia="宋体" w:cs="宋体"/>
          <w:b/>
          <w:bCs/>
          <w:sz w:val="44"/>
          <w:szCs w:val="52"/>
          <w:lang w:val="en-US" w:eastAsia="zh-CN"/>
        </w:rPr>
        <w:t>麻阳苗族自治县教育局涉企行政检查</w:t>
      </w:r>
      <w:r>
        <w:rPr>
          <w:rFonts w:hint="eastAsia" w:ascii="宋体" w:hAnsi="宋体" w:cs="宋体"/>
          <w:b/>
          <w:bCs/>
          <w:sz w:val="44"/>
          <w:szCs w:val="52"/>
          <w:lang w:val="en-US" w:eastAsia="zh-CN"/>
        </w:rPr>
        <w:t>事项清单</w:t>
      </w:r>
    </w:p>
    <w:tbl>
      <w:tblPr>
        <w:tblStyle w:val="4"/>
        <w:tblpPr w:leftFromText="180" w:rightFromText="180" w:vertAnchor="page" w:horzAnchor="page" w:tblpX="1476" w:tblpY="2689"/>
        <w:tblOverlap w:val="never"/>
        <w:tblW w:w="14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3"/>
        <w:gridCol w:w="674"/>
        <w:gridCol w:w="690"/>
        <w:gridCol w:w="6263"/>
        <w:gridCol w:w="1135"/>
        <w:gridCol w:w="1560"/>
        <w:gridCol w:w="680"/>
        <w:gridCol w:w="736"/>
        <w:gridCol w:w="874"/>
        <w:gridCol w:w="801"/>
      </w:tblGrid>
      <w:tr w14:paraId="232D0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63" w:type="dxa"/>
            <w:noWrap w:val="0"/>
            <w:vAlign w:val="center"/>
          </w:tcPr>
          <w:p w14:paraId="45503CA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序号</w:t>
            </w:r>
          </w:p>
        </w:tc>
        <w:tc>
          <w:tcPr>
            <w:tcW w:w="674" w:type="dxa"/>
            <w:noWrap w:val="0"/>
            <w:vAlign w:val="center"/>
          </w:tcPr>
          <w:p w14:paraId="18241873">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检查事项</w:t>
            </w:r>
          </w:p>
        </w:tc>
        <w:tc>
          <w:tcPr>
            <w:tcW w:w="690" w:type="dxa"/>
            <w:noWrap w:val="0"/>
            <w:vAlign w:val="center"/>
          </w:tcPr>
          <w:p w14:paraId="3F570AD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检查主体</w:t>
            </w:r>
          </w:p>
        </w:tc>
        <w:tc>
          <w:tcPr>
            <w:tcW w:w="6263" w:type="dxa"/>
            <w:noWrap w:val="0"/>
            <w:vAlign w:val="center"/>
          </w:tcPr>
          <w:p w14:paraId="2B121621">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实施依据</w:t>
            </w:r>
          </w:p>
        </w:tc>
        <w:tc>
          <w:tcPr>
            <w:tcW w:w="1135" w:type="dxa"/>
            <w:noWrap w:val="0"/>
            <w:vAlign w:val="center"/>
          </w:tcPr>
          <w:p w14:paraId="534C2AB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承办机构</w:t>
            </w:r>
          </w:p>
        </w:tc>
        <w:tc>
          <w:tcPr>
            <w:tcW w:w="1560" w:type="dxa"/>
            <w:noWrap w:val="0"/>
            <w:vAlign w:val="center"/>
          </w:tcPr>
          <w:p w14:paraId="7DF87E6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具体检查对象</w:t>
            </w:r>
          </w:p>
        </w:tc>
        <w:tc>
          <w:tcPr>
            <w:tcW w:w="680" w:type="dxa"/>
            <w:noWrap w:val="0"/>
            <w:vAlign w:val="center"/>
          </w:tcPr>
          <w:p w14:paraId="46A6F8F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检查内容</w:t>
            </w:r>
          </w:p>
        </w:tc>
        <w:tc>
          <w:tcPr>
            <w:tcW w:w="736" w:type="dxa"/>
            <w:noWrap w:val="0"/>
            <w:vAlign w:val="center"/>
          </w:tcPr>
          <w:p w14:paraId="3108768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检查方式</w:t>
            </w:r>
          </w:p>
        </w:tc>
        <w:tc>
          <w:tcPr>
            <w:tcW w:w="874" w:type="dxa"/>
            <w:noWrap w:val="0"/>
            <w:vAlign w:val="center"/>
          </w:tcPr>
          <w:p w14:paraId="7FDB1CDE">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年度检查频次</w:t>
            </w:r>
          </w:p>
        </w:tc>
        <w:tc>
          <w:tcPr>
            <w:tcW w:w="801" w:type="dxa"/>
            <w:noWrap w:val="0"/>
            <w:vAlign w:val="center"/>
          </w:tcPr>
          <w:p w14:paraId="72CE9B8B">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备注</w:t>
            </w:r>
          </w:p>
        </w:tc>
      </w:tr>
      <w:tr w14:paraId="2D88B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2" w:hRule="atLeast"/>
        </w:trPr>
        <w:tc>
          <w:tcPr>
            <w:tcW w:w="663" w:type="dxa"/>
            <w:noWrap w:val="0"/>
            <w:vAlign w:val="center"/>
          </w:tcPr>
          <w:p w14:paraId="6997BA7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val="en-US" w:eastAsia="zh-CN"/>
              </w:rPr>
            </w:pPr>
            <w:r>
              <w:rPr>
                <w:rFonts w:hint="eastAsia" w:ascii="方正书宋_GBK" w:hAnsi="方正书宋_GBK" w:eastAsia="方正书宋_GBK" w:cs="方正书宋_GBK"/>
                <w:sz w:val="21"/>
                <w:szCs w:val="21"/>
                <w:vertAlign w:val="baseline"/>
                <w:lang w:val="en-US" w:eastAsia="zh-CN"/>
              </w:rPr>
              <w:t>1</w:t>
            </w:r>
          </w:p>
        </w:tc>
        <w:tc>
          <w:tcPr>
            <w:tcW w:w="674" w:type="dxa"/>
            <w:noWrap w:val="0"/>
            <w:vAlign w:val="center"/>
          </w:tcPr>
          <w:p w14:paraId="23ADC84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对营利性校外培训机构的行政检查</w:t>
            </w:r>
          </w:p>
        </w:tc>
        <w:tc>
          <w:tcPr>
            <w:tcW w:w="690" w:type="dxa"/>
            <w:noWrap w:val="0"/>
            <w:vAlign w:val="center"/>
          </w:tcPr>
          <w:p w14:paraId="701AB88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教育部门（县级）</w:t>
            </w:r>
          </w:p>
        </w:tc>
        <w:tc>
          <w:tcPr>
            <w:tcW w:w="6263" w:type="dxa"/>
            <w:noWrap w:val="0"/>
            <w:vAlign w:val="center"/>
          </w:tcPr>
          <w:p w14:paraId="6062DCA8">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中华人民共和国民办教育促进法》第六十五条：本法所称的民办学校包括依法举办的其他民办教育机构；《中华人民共和国民办教育促进法实施条例》第四十七条：县级以上地方人民政府应当建立民办教育工作联</w:t>
            </w:r>
            <w:r>
              <w:rPr>
                <w:rFonts w:hint="eastAsia" w:ascii="方正书宋_GBK" w:hAnsi="方正书宋_GBK" w:eastAsia="方正书宋_GBK" w:cs="方正书宋_GBK"/>
                <w:sz w:val="21"/>
                <w:szCs w:val="21"/>
                <w:vertAlign w:val="baseline"/>
                <w:lang w:val="en-US" w:eastAsia="zh-CN"/>
              </w:rPr>
              <w:t>席</w:t>
            </w:r>
            <w:bookmarkStart w:id="0" w:name="_GoBack"/>
            <w:bookmarkEnd w:id="0"/>
            <w:r>
              <w:rPr>
                <w:rFonts w:hint="eastAsia" w:ascii="方正书宋_GBK" w:hAnsi="方正书宋_GBK" w:eastAsia="方正书宋_GBK" w:cs="方正书宋_GBK"/>
                <w:sz w:val="21"/>
                <w:szCs w:val="21"/>
                <w:vertAlign w:val="baseline"/>
                <w:lang w:eastAsia="zh-CN"/>
              </w:rPr>
              <w:t>会议制度。教育、人力资源社会保障、民政、市场监督管理等部门应当根据职责会同有关部门建立民办学校年度检查和年度报告制度，健全日常监管机制。第四十八条：教育行政部门、人力资源社会保障行政部门应当依据职责分工，定期组织或者委托第三方机构对民办学校的办学水平和教育质量进行评估，评估结果应当向社会公开。</w:t>
            </w:r>
          </w:p>
        </w:tc>
        <w:tc>
          <w:tcPr>
            <w:tcW w:w="1135" w:type="dxa"/>
            <w:noWrap w:val="0"/>
            <w:vAlign w:val="center"/>
          </w:tcPr>
          <w:p w14:paraId="67D6CE6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培管股</w:t>
            </w:r>
          </w:p>
        </w:tc>
        <w:tc>
          <w:tcPr>
            <w:tcW w:w="1560" w:type="dxa"/>
            <w:noWrap w:val="0"/>
            <w:vAlign w:val="center"/>
          </w:tcPr>
          <w:p w14:paraId="0EC2D373">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选择在市监部门登记为营利性的校外培训机构</w:t>
            </w:r>
          </w:p>
        </w:tc>
        <w:tc>
          <w:tcPr>
            <w:tcW w:w="680" w:type="dxa"/>
            <w:noWrap w:val="0"/>
            <w:vAlign w:val="center"/>
          </w:tcPr>
          <w:p w14:paraId="7A7F1EB7">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年度办学情况检查</w:t>
            </w:r>
          </w:p>
        </w:tc>
        <w:tc>
          <w:tcPr>
            <w:tcW w:w="736" w:type="dxa"/>
            <w:noWrap w:val="0"/>
            <w:vAlign w:val="center"/>
          </w:tcPr>
          <w:p w14:paraId="0D62CA8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现场检查</w:t>
            </w:r>
          </w:p>
        </w:tc>
        <w:tc>
          <w:tcPr>
            <w:tcW w:w="874" w:type="dxa"/>
            <w:noWrap w:val="0"/>
            <w:vAlign w:val="center"/>
          </w:tcPr>
          <w:p w14:paraId="041543F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每年</w:t>
            </w:r>
            <w:r>
              <w:rPr>
                <w:rFonts w:hint="eastAsia" w:ascii="方正书宋_GBK" w:hAnsi="方正书宋_GBK" w:eastAsia="方正书宋_GBK" w:cs="方正书宋_GBK"/>
                <w:sz w:val="21"/>
                <w:szCs w:val="21"/>
                <w:vertAlign w:val="baseline"/>
                <w:lang w:val="en-US" w:eastAsia="zh-CN"/>
              </w:rPr>
              <w:t xml:space="preserve"> </w:t>
            </w:r>
            <w:r>
              <w:rPr>
                <w:rFonts w:hint="eastAsia" w:ascii="方正书宋_GBK" w:hAnsi="方正书宋_GBK" w:eastAsia="方正书宋_GBK" w:cs="方正书宋_GBK"/>
                <w:sz w:val="21"/>
                <w:szCs w:val="21"/>
                <w:vertAlign w:val="baseline"/>
                <w:lang w:eastAsia="zh-CN"/>
              </w:rPr>
              <w:t>一次</w:t>
            </w:r>
          </w:p>
        </w:tc>
        <w:tc>
          <w:tcPr>
            <w:tcW w:w="801" w:type="dxa"/>
            <w:noWrap w:val="0"/>
            <w:vAlign w:val="center"/>
          </w:tcPr>
          <w:p w14:paraId="1361AB43">
            <w:pPr>
              <w:keepNext w:val="0"/>
              <w:keepLines w:val="0"/>
              <w:pageBreakBefore w:val="0"/>
              <w:kinsoku/>
              <w:wordWrap/>
              <w:overflowPunct/>
              <w:topLinePunct w:val="0"/>
              <w:autoSpaceDE/>
              <w:autoSpaceDN/>
              <w:bidi w:val="0"/>
              <w:adjustRightInd/>
              <w:snapToGrid/>
              <w:spacing w:line="260" w:lineRule="exact"/>
              <w:jc w:val="center"/>
              <w:textAlignment w:val="auto"/>
              <w:rPr>
                <w:rFonts w:hint="default" w:ascii="方正书宋_GBK" w:hAnsi="方正书宋_GBK" w:eastAsia="方正书宋_GBK" w:cs="方正书宋_GBK"/>
                <w:sz w:val="21"/>
                <w:szCs w:val="21"/>
                <w:vertAlign w:val="baseline"/>
                <w:lang w:val="en-US" w:eastAsia="zh-CN"/>
              </w:rPr>
            </w:pPr>
          </w:p>
        </w:tc>
      </w:tr>
      <w:tr w14:paraId="0D7F2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9" w:hRule="atLeast"/>
        </w:trPr>
        <w:tc>
          <w:tcPr>
            <w:tcW w:w="663" w:type="dxa"/>
            <w:noWrap w:val="0"/>
            <w:vAlign w:val="center"/>
          </w:tcPr>
          <w:p w14:paraId="7E07C44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val="en-US" w:eastAsia="zh-CN"/>
              </w:rPr>
            </w:pPr>
            <w:r>
              <w:rPr>
                <w:rFonts w:hint="eastAsia" w:ascii="方正书宋_GBK" w:hAnsi="方正书宋_GBK" w:eastAsia="方正书宋_GBK" w:cs="方正书宋_GBK"/>
                <w:sz w:val="21"/>
                <w:szCs w:val="21"/>
                <w:vertAlign w:val="baseline"/>
                <w:lang w:val="en-US" w:eastAsia="zh-CN"/>
              </w:rPr>
              <w:t>2</w:t>
            </w:r>
          </w:p>
        </w:tc>
        <w:tc>
          <w:tcPr>
            <w:tcW w:w="674" w:type="dxa"/>
            <w:noWrap w:val="0"/>
            <w:vAlign w:val="center"/>
          </w:tcPr>
          <w:p w14:paraId="16D31CF2">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对营利性民办学校的行政检查</w:t>
            </w:r>
          </w:p>
        </w:tc>
        <w:tc>
          <w:tcPr>
            <w:tcW w:w="690" w:type="dxa"/>
            <w:noWrap w:val="0"/>
            <w:vAlign w:val="center"/>
          </w:tcPr>
          <w:p w14:paraId="31EAFEE4">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教育部门（县级）</w:t>
            </w:r>
          </w:p>
        </w:tc>
        <w:tc>
          <w:tcPr>
            <w:tcW w:w="6263" w:type="dxa"/>
            <w:noWrap w:val="0"/>
            <w:vAlign w:val="center"/>
          </w:tcPr>
          <w:p w14:paraId="48060CD2">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中华人民共和国民办教育促进法》第六十五条：本法所称的民办学校包括依法举办的其他民办教育机构；《中华人民共和国民办教育促进法实施条例》第四十七条：县级以上地方人民政府应当建立民办教育工作联</w:t>
            </w:r>
            <w:r>
              <w:rPr>
                <w:rFonts w:hint="eastAsia" w:ascii="方正书宋_GBK" w:hAnsi="方正书宋_GBK" w:eastAsia="方正书宋_GBK" w:cs="方正书宋_GBK"/>
                <w:sz w:val="21"/>
                <w:szCs w:val="21"/>
                <w:vertAlign w:val="baseline"/>
                <w:lang w:val="en-US" w:eastAsia="zh-CN"/>
              </w:rPr>
              <w:t>席</w:t>
            </w:r>
            <w:r>
              <w:rPr>
                <w:rFonts w:hint="eastAsia" w:ascii="方正书宋_GBK" w:hAnsi="方正书宋_GBK" w:eastAsia="方正书宋_GBK" w:cs="方正书宋_GBK"/>
                <w:sz w:val="21"/>
                <w:szCs w:val="21"/>
                <w:vertAlign w:val="baseline"/>
                <w:lang w:eastAsia="zh-CN"/>
              </w:rPr>
              <w:t>会议制度。教育、人力资源社会保障、民政、市场监督管理等部门应当根据职责会同有关部门建立民办学校年度检查和年度报告制度，健全日常监管机制。第四十八条：教育行政部门、人力资源社会保障行政部门应当依据职责分工，定期组织或者委托第三方机构对民办学校的办学水平和教育质量进行评估，评估结果应当向社会公开。</w:t>
            </w:r>
          </w:p>
        </w:tc>
        <w:tc>
          <w:tcPr>
            <w:tcW w:w="1135" w:type="dxa"/>
            <w:noWrap w:val="0"/>
            <w:vAlign w:val="center"/>
          </w:tcPr>
          <w:p w14:paraId="78611BE8">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职业与民办教育管理股</w:t>
            </w:r>
          </w:p>
        </w:tc>
        <w:tc>
          <w:tcPr>
            <w:tcW w:w="1560" w:type="dxa"/>
            <w:noWrap w:val="0"/>
            <w:vAlign w:val="center"/>
          </w:tcPr>
          <w:p w14:paraId="3931BF7A">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选择在市监部门登记为营利性的各级各类民办学校</w:t>
            </w:r>
          </w:p>
        </w:tc>
        <w:tc>
          <w:tcPr>
            <w:tcW w:w="680" w:type="dxa"/>
            <w:noWrap w:val="0"/>
            <w:vAlign w:val="center"/>
          </w:tcPr>
          <w:p w14:paraId="726B7B45">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年度办学情况检查</w:t>
            </w:r>
          </w:p>
        </w:tc>
        <w:tc>
          <w:tcPr>
            <w:tcW w:w="736" w:type="dxa"/>
            <w:noWrap w:val="0"/>
            <w:vAlign w:val="center"/>
          </w:tcPr>
          <w:p w14:paraId="1E544A3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现场检查</w:t>
            </w:r>
          </w:p>
          <w:p w14:paraId="40E6F58F">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、日常监管情况相结合</w:t>
            </w:r>
          </w:p>
        </w:tc>
        <w:tc>
          <w:tcPr>
            <w:tcW w:w="874" w:type="dxa"/>
            <w:noWrap w:val="0"/>
            <w:vAlign w:val="center"/>
          </w:tcPr>
          <w:p w14:paraId="286D5C66">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每年</w:t>
            </w:r>
            <w:r>
              <w:rPr>
                <w:rFonts w:hint="eastAsia" w:ascii="方正书宋_GBK" w:hAnsi="方正书宋_GBK" w:eastAsia="方正书宋_GBK" w:cs="方正书宋_GBK"/>
                <w:sz w:val="21"/>
                <w:szCs w:val="21"/>
                <w:vertAlign w:val="baseline"/>
                <w:lang w:val="en-US" w:eastAsia="zh-CN"/>
              </w:rPr>
              <w:t xml:space="preserve"> </w:t>
            </w:r>
            <w:r>
              <w:rPr>
                <w:rFonts w:hint="eastAsia" w:ascii="方正书宋_GBK" w:hAnsi="方正书宋_GBK" w:eastAsia="方正书宋_GBK" w:cs="方正书宋_GBK"/>
                <w:sz w:val="21"/>
                <w:szCs w:val="21"/>
                <w:vertAlign w:val="baseline"/>
                <w:lang w:eastAsia="zh-CN"/>
              </w:rPr>
              <w:t>一次</w:t>
            </w:r>
          </w:p>
        </w:tc>
        <w:tc>
          <w:tcPr>
            <w:tcW w:w="801" w:type="dxa"/>
            <w:noWrap w:val="0"/>
            <w:vAlign w:val="center"/>
          </w:tcPr>
          <w:p w14:paraId="0CC1E160">
            <w:pPr>
              <w:keepNext w:val="0"/>
              <w:keepLines w:val="0"/>
              <w:pageBreakBefore w:val="0"/>
              <w:kinsoku/>
              <w:wordWrap/>
              <w:overflowPunct/>
              <w:topLinePunct w:val="0"/>
              <w:autoSpaceDE/>
              <w:autoSpaceDN/>
              <w:bidi w:val="0"/>
              <w:adjustRightInd/>
              <w:snapToGrid/>
              <w:spacing w:line="260" w:lineRule="exact"/>
              <w:jc w:val="center"/>
              <w:textAlignment w:val="auto"/>
              <w:rPr>
                <w:rFonts w:hint="eastAsia" w:ascii="方正书宋_GBK" w:hAnsi="方正书宋_GBK" w:eastAsia="方正书宋_GBK" w:cs="方正书宋_GBK"/>
                <w:sz w:val="21"/>
                <w:szCs w:val="21"/>
                <w:vertAlign w:val="baseline"/>
                <w:lang w:eastAsia="zh-CN"/>
              </w:rPr>
            </w:pPr>
          </w:p>
        </w:tc>
      </w:tr>
      <w:tr w14:paraId="407E1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14076" w:type="dxa"/>
            <w:gridSpan w:val="10"/>
            <w:noWrap w:val="0"/>
            <w:vAlign w:val="center"/>
          </w:tcPr>
          <w:p w14:paraId="6BF82A49">
            <w:pPr>
              <w:keepNext w:val="0"/>
              <w:keepLines w:val="0"/>
              <w:pageBreakBefore w:val="0"/>
              <w:kinsoku/>
              <w:wordWrap/>
              <w:overflowPunct/>
              <w:topLinePunct w:val="0"/>
              <w:autoSpaceDE/>
              <w:autoSpaceDN/>
              <w:bidi w:val="0"/>
              <w:adjustRightInd/>
              <w:snapToGrid/>
              <w:spacing w:line="260" w:lineRule="exact"/>
              <w:jc w:val="left"/>
              <w:textAlignment w:val="auto"/>
              <w:rPr>
                <w:rFonts w:hint="eastAsia" w:ascii="方正书宋_GBK" w:hAnsi="方正书宋_GBK" w:eastAsia="方正书宋_GBK" w:cs="方正书宋_GBK"/>
                <w:sz w:val="21"/>
                <w:szCs w:val="21"/>
                <w:vertAlign w:val="baseline"/>
                <w:lang w:eastAsia="zh-CN"/>
              </w:rPr>
            </w:pPr>
            <w:r>
              <w:rPr>
                <w:rFonts w:hint="eastAsia" w:ascii="方正书宋_GBK" w:hAnsi="方正书宋_GBK" w:eastAsia="方正书宋_GBK" w:cs="方正书宋_GBK"/>
                <w:sz w:val="21"/>
                <w:szCs w:val="21"/>
                <w:vertAlign w:val="baseline"/>
                <w:lang w:eastAsia="zh-CN"/>
              </w:rPr>
              <w:t>说明：</w:t>
            </w:r>
          </w:p>
          <w:p w14:paraId="2932A8E8">
            <w:pPr>
              <w:keepNext w:val="0"/>
              <w:keepLines w:val="0"/>
              <w:pageBreakBefore w:val="0"/>
              <w:numPr>
                <w:ilvl w:val="0"/>
                <w:numId w:val="1"/>
              </w:numPr>
              <w:kinsoku/>
              <w:wordWrap/>
              <w:overflowPunct/>
              <w:topLinePunct w:val="0"/>
              <w:autoSpaceDE/>
              <w:autoSpaceDN/>
              <w:bidi w:val="0"/>
              <w:adjustRightInd/>
              <w:snapToGrid/>
              <w:spacing w:line="260" w:lineRule="exact"/>
              <w:jc w:val="left"/>
              <w:textAlignment w:val="auto"/>
              <w:rPr>
                <w:rFonts w:hint="eastAsia" w:ascii="方正书宋_GBK" w:hAnsi="方正书宋_GBK" w:eastAsia="方正书宋_GBK" w:cs="方正书宋_GBK"/>
                <w:sz w:val="21"/>
                <w:szCs w:val="21"/>
                <w:vertAlign w:val="baseline"/>
                <w:lang w:val="en-US" w:eastAsia="zh-CN"/>
              </w:rPr>
            </w:pPr>
            <w:r>
              <w:rPr>
                <w:rFonts w:hint="eastAsia" w:ascii="方正书宋_GBK" w:hAnsi="方正书宋_GBK" w:eastAsia="方正书宋_GBK" w:cs="方正书宋_GBK"/>
                <w:sz w:val="21"/>
                <w:szCs w:val="21"/>
                <w:vertAlign w:val="baseline"/>
                <w:lang w:val="en-US" w:eastAsia="zh-CN"/>
              </w:rPr>
              <w:t>本清单根据有关法律法规规章立改废情况进行动态调整。</w:t>
            </w:r>
          </w:p>
          <w:p w14:paraId="13BA757A">
            <w:pPr>
              <w:keepNext w:val="0"/>
              <w:keepLines w:val="0"/>
              <w:pageBreakBefore w:val="0"/>
              <w:numPr>
                <w:ilvl w:val="0"/>
                <w:numId w:val="1"/>
              </w:numPr>
              <w:kinsoku/>
              <w:wordWrap/>
              <w:overflowPunct/>
              <w:topLinePunct w:val="0"/>
              <w:autoSpaceDE/>
              <w:autoSpaceDN/>
              <w:bidi w:val="0"/>
              <w:adjustRightInd/>
              <w:snapToGrid/>
              <w:spacing w:line="260" w:lineRule="exact"/>
              <w:jc w:val="left"/>
              <w:textAlignment w:val="auto"/>
              <w:rPr>
                <w:rFonts w:hint="default" w:ascii="方正书宋_GBK" w:hAnsi="方正书宋_GBK" w:eastAsia="方正书宋_GBK" w:cs="方正书宋_GBK"/>
                <w:sz w:val="21"/>
                <w:szCs w:val="21"/>
                <w:vertAlign w:val="baseline"/>
                <w:lang w:val="en-US" w:eastAsia="zh-CN"/>
              </w:rPr>
            </w:pPr>
            <w:r>
              <w:rPr>
                <w:rFonts w:hint="eastAsia" w:ascii="方正书宋_GBK" w:hAnsi="方正书宋_GBK" w:eastAsia="方正书宋_GBK" w:cs="方正书宋_GBK"/>
                <w:sz w:val="21"/>
                <w:szCs w:val="21"/>
                <w:vertAlign w:val="baseline"/>
                <w:lang w:val="en-US" w:eastAsia="zh-CN"/>
              </w:rPr>
              <w:t>严禁本系统县级行政执法机关（含所属法律法规授权组织）对同一检查对象进行重复行政检查。</w:t>
            </w:r>
          </w:p>
          <w:p w14:paraId="2F227545">
            <w:pPr>
              <w:keepNext w:val="0"/>
              <w:keepLines w:val="0"/>
              <w:widowControl/>
              <w:suppressLineNumbers w:val="0"/>
              <w:jc w:val="left"/>
              <w:rPr>
                <w:rFonts w:hint="default" w:ascii="方正书宋_GBK" w:hAnsi="方正书宋_GBK" w:eastAsia="方正书宋_GBK" w:cs="方正书宋_GBK"/>
                <w:sz w:val="21"/>
                <w:szCs w:val="21"/>
                <w:vertAlign w:val="baseline"/>
                <w:lang w:val="en-US" w:eastAsia="zh-CN"/>
              </w:rPr>
            </w:pPr>
            <w:r>
              <w:rPr>
                <w:rFonts w:hint="eastAsia" w:ascii="方正书宋_GBK" w:hAnsi="方正书宋_GBK" w:eastAsia="方正书宋_GBK" w:cs="方正书宋_GBK"/>
                <w:sz w:val="21"/>
                <w:szCs w:val="21"/>
                <w:vertAlign w:val="baseline"/>
                <w:lang w:val="en-US" w:eastAsia="zh-CN"/>
              </w:rPr>
              <w:t>本机关对于未列入清单的涉企行政检查事项一律不得实施行政检查，企业有权拒绝接受检查，并可以向县教育局政策法规股（本机关行政执法监督机构，县教育局联系电话：</w:t>
            </w:r>
            <w:r>
              <w:rPr>
                <w:rFonts w:hint="eastAsia" w:ascii="方正书宋_GBK" w:hAnsi="方正书宋_GBK" w:eastAsia="方正书宋_GBK" w:cs="方正书宋_GBK"/>
                <w:sz w:val="21"/>
                <w:szCs w:val="21"/>
                <w:vertAlign w:val="baseline"/>
                <w:lang w:val="en-US" w:eastAsia="zh-CN"/>
              </w:rPr>
              <w:fldChar w:fldCharType="begin"/>
            </w:r>
            <w:r>
              <w:rPr>
                <w:rFonts w:hint="eastAsia" w:ascii="方正书宋_GBK" w:hAnsi="方正书宋_GBK" w:eastAsia="方正书宋_GBK" w:cs="方正书宋_GBK"/>
                <w:sz w:val="21"/>
                <w:szCs w:val="21"/>
                <w:vertAlign w:val="baseline"/>
                <w:lang w:val="en-US" w:eastAsia="zh-CN"/>
              </w:rPr>
              <w:instrText xml:space="preserve"> HYPERLINK "mailto:0745-5883700myjyjxjb@163.com" </w:instrText>
            </w:r>
            <w:r>
              <w:rPr>
                <w:rFonts w:hint="eastAsia" w:ascii="方正书宋_GBK" w:hAnsi="方正书宋_GBK" w:eastAsia="方正书宋_GBK" w:cs="方正书宋_GBK"/>
                <w:sz w:val="21"/>
                <w:szCs w:val="21"/>
                <w:vertAlign w:val="baseline"/>
                <w:lang w:val="en-US" w:eastAsia="zh-CN"/>
              </w:rPr>
              <w:fldChar w:fldCharType="separate"/>
            </w:r>
            <w:r>
              <w:rPr>
                <w:rFonts w:hint="eastAsia" w:ascii="方正书宋_GBK" w:hAnsi="方正书宋_GBK" w:eastAsia="方正书宋_GBK" w:cs="方正书宋_GBK"/>
                <w:sz w:val="21"/>
                <w:szCs w:val="21"/>
                <w:vertAlign w:val="baseline"/>
                <w:lang w:val="en-US" w:eastAsia="zh-CN"/>
              </w:rPr>
              <w:t>0745-5883700  电子信箱：myjyjxjb@163.com</w:t>
            </w:r>
            <w:r>
              <w:rPr>
                <w:rFonts w:hint="eastAsia" w:ascii="方正书宋_GBK" w:hAnsi="方正书宋_GBK" w:eastAsia="方正书宋_GBK" w:cs="方正书宋_GBK"/>
                <w:sz w:val="21"/>
                <w:szCs w:val="21"/>
                <w:vertAlign w:val="baseline"/>
                <w:lang w:val="en-US" w:eastAsia="zh-CN"/>
              </w:rPr>
              <w:fldChar w:fldCharType="end"/>
            </w:r>
            <w:r>
              <w:rPr>
                <w:rFonts w:hint="eastAsia" w:ascii="方正书宋_GBK" w:hAnsi="方正书宋_GBK" w:eastAsia="方正书宋_GBK" w:cs="方正书宋_GBK"/>
                <w:sz w:val="21"/>
                <w:szCs w:val="21"/>
                <w:vertAlign w:val="baseline"/>
                <w:lang w:val="en-US" w:eastAsia="zh-CN"/>
              </w:rPr>
              <w:t xml:space="preserve"> ，县司法局：07455826731，电子信箱：mysfj2014@163.com。</w:t>
            </w:r>
          </w:p>
        </w:tc>
      </w:tr>
    </w:tbl>
    <w:p w14:paraId="0BB41EAA"/>
    <w:sectPr>
      <w:pgSz w:w="16838" w:h="11906" w:orient="landscape"/>
      <w:pgMar w:top="1463" w:right="1440" w:bottom="1406"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altName w:val="微软雅黑"/>
    <w:panose1 w:val="02000000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 w:name="KSOF4C539D17">
    <w:panose1 w:val="020B0503020204020204"/>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8B48FE"/>
    <w:multiLevelType w:val="singleLevel"/>
    <w:tmpl w:val="438B48F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BFA6DA"/>
    <w:rsid w:val="0CBFA6DA"/>
    <w:rsid w:val="1B081D20"/>
    <w:rsid w:val="61FFECE0"/>
    <w:rsid w:val="6FE474FD"/>
    <w:rsid w:val="757FD49E"/>
    <w:rsid w:val="7DDF8D9C"/>
    <w:rsid w:val="7FFBF659"/>
    <w:rsid w:val="AF7FE439"/>
    <w:rsid w:val="BFFE2D84"/>
    <w:rsid w:val="DF1D651A"/>
    <w:rsid w:val="FEFFD4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855</Words>
  <Characters>907</Characters>
  <Lines>0</Lines>
  <Paragraphs>0</Paragraphs>
  <TotalTime>23</TotalTime>
  <ScaleCrop>false</ScaleCrop>
  <LinksUpToDate>false</LinksUpToDate>
  <CharactersWithSpaces>912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2025-04-20T00:23:00Z</dcterms:created>
  <dc:creator>greatwall</dc:creator>
  <cp:lastModifiedBy>一九九几的老故事-</cp:lastModifiedBy>
  <cp:lastPrinted>2025-04-24T08:51:00Z</cp:lastPrinted>
  <dcterms:modified xsi:type="dcterms:W3CDTF">2026-06-22T06:51:43Z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DB7FCC227778471DBA94B55A3A47377C_13</vt:lpwstr>
  </property>
  <property fmtid="{D5CDD505-2E9C-101B-9397-08002B2CF9AE}" pid="4" name="KSOTemplateDocerSaveRecord">
    <vt:lpwstr>eyJoZGlkIjoiODg1OTc4YjBiNDc1MGMyZGYwZDMyMTJjMWVkODIyNjQiLCJ1c2VySWQiOiIyNTYzNDIxOTMifQ==</vt:lpwstr>
  </property>
</Properties>
</file>