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C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color w:val="FFFFFF"/>
          <w:sz w:val="44"/>
          <w:szCs w:val="44"/>
        </w:rPr>
        <w:pict>
          <v:shape id="_x0000_s1026" o:spid="_x0000_s1026" o:spt="136" type="#_x0000_t136" style="position:absolute;left:0pt;margin-left:71.65pt;margin-top:88.6pt;height:65.2pt;width:440.9pt;mso-position-horizontal-relative:page;mso-position-vertical-relative:page;z-index:-251657216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麻阳苗族自治县大桥江乡人民政府" style="font-family:方正小标宋简体;font-size:32pt;font-weight:bold;v-text-align:center;"/>
          </v:shape>
        </w:pict>
      </w:r>
    </w:p>
    <w:p w14:paraId="75B9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59B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6481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4D7A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17780</wp:posOffset>
                </wp:positionV>
                <wp:extent cx="5810250" cy="0"/>
                <wp:effectExtent l="0" t="14605" r="6350" b="2349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3.15pt;margin-top:1.4pt;height:0pt;width:457.5pt;z-index:251660288;mso-width-relative:page;mso-height-relative:page;" filled="f" stroked="t" coordsize="21600,21600" o:gfxdata="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lSPNtQA&#10;AAAHAQAADwAAAAAAAAABACAAAAAiAAAAZHJzL2Rvd25yZXYueG1sUEsBAhQAFAAAAAgAh07iQFpb&#10;8cPqAQAA3AMAAA4AAAAAAAAAAQAgAAAAIwEAAGRycy9lMm9Eb2MueG1sUEsFBgAAAAAGAAYAWQEA&#10;AH8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BD8B1E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大桥江乡2025年度法治政府建设工作报告</w:t>
      </w:r>
    </w:p>
    <w:p w14:paraId="67A9F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 年，大桥江乡在县委、县政府的坚强有力领导下，以习近平新时代中国特色社会主义思想为科学指引，深入学习贯彻习近平法治思想，全面贯彻落实党中央、国务院关于法治政府建设的决策部署以及《法治政府建设实施纲要（2021—2025 年）》收官要求，紧密结合乡域发展实际情况，将法治建设与中心工作进行深度融合，扎实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有效推进依法行政各项任务，法治政府建设取得了阶段性的显著成效。现将本年度工作情况报告如下：</w:t>
      </w:r>
    </w:p>
    <w:p w14:paraId="38EB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一、2025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年度推进法治政府建设的主要举措和成效</w:t>
      </w:r>
    </w:p>
    <w:p w14:paraId="13FF3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（一）强化思想引领，筑牢法治建设坚实根基。始终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坚持把学习贯彻习近平法治思想作为首要的重大政治任务，将其纳入党委理论学习中心组学习计划之中。全年精心组织开展专题学习 4 次、法治专题讲座 3 场次，实现了乡、村干部学习的全面覆盖。严格落实党对法治政府建设的领导制度，进一步完善法治政府建设领导小组。乡党委书记潘仕江作为全乡法治建设的第一责任人，全面领导全乡的法治建设工作。乡党委副书记、乡长李昌军为法治政府建设第一责任人，各分管领导切实落实“一岗多责”，各办公室负责人、村书记担任成员，共同组建法治政府建设工作领导小组。通过建章立制，大力推进依法行政、依法治村，严格落实执规责任制和政务公开工作，以高标准、多层次、全方位的要求统筹谋划推进全乡法治政府建设工作。全年召开党委专题会议深入研究法治工作 3 次，统筹解决执法规范化、矛盾化解等重大问题，构建起“主要领导牵头抓、分管领导具体抓、职能部门协同抓”的高效工作格局。将法治建设成效纳入村和乡直部门年度绩效考核的核心指标体系，切实压实党政主要负责人履行推进法治建设第一责任人的职责，推动法治建设与经济发展、乡村治理等工作实现同谋划、同部署、同落实。</w:t>
      </w:r>
    </w:p>
    <w:p w14:paraId="67B1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（二）规范行政行为，有效提升依法行政水平。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严格执行《重大行政决策程序暂行条例》，对于涉及群众切身利益的乡村振兴项目、集体资产处置等重大事项，全面严格落实公众参与、专家论证、合法性审查、集体讨论决定等法定程序。全年公开征求意见 5 次，对各类文件、合同进行合法性审查 23 件，确保决策具有科学性和合法性。深入推进“放管服”改革，优化政务服务大厅的功能设置，积极推行“一窗受理、集成服务”模式。全年受理群众办事事项 300 余件，办结率和群众满意率均达到 99%以上。建立领导干部联系制度，在大桥江乡貅品鞋品箱包厂开展 2 次“法治体检”活动，有力助力优化法治化营商环境。自觉主动接受人大监督和社会监督，全年办理群众意见 13 件、人大建议 30 件，通过政务公开栏、微信群等多种渠道公开政府信息 200 余条，充分保障群众的知情权和监督权。</w:t>
      </w:r>
    </w:p>
    <w:p w14:paraId="1985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（三）深化执法改革，规范公正文明执法工作。积极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进综合行政执法改革，整合自然资源、安全生产、生态环境等领域的执法力量，正式成立乡综合行政执法大队，实现“一支队伍管执法”的高效模式。加强执法队伍建设，组织执法人员参加执法资格培训、考试，执法人员持证上岗率达到 100%。全年开展执法业务实训 4 次，有效提升执法人员的专业素养。聚焦安全生产、环境保护、农村建房等重点领域，开展专项执法检查 18 次，坚持处罚与教育相结合的原则，积极推行柔性执法方式，对情节轻微的违法行为依法从轻或减轻处罚，全年无一引发行政复议或行政诉讼。规范执法程序，严格落实执法全过程记录制度，完善行政执法记录与资料，及时整改问题隐患，切实提升执法规范化水平。</w:t>
      </w:r>
    </w:p>
    <w:p w14:paraId="0E8D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（四）化解矛盾纠纷，全力维护社会和谐稳定。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坚持和发展新时代“枫桥经验”，健全“公安 + 司法 + 乡贤”多元化解机制，整合调解、信访、法律服务等各类资源，实现矛盾纠纷“一站式受理、一揽子调处”。依托网格员、“法律明白人”队伍开展常态化矛盾隐患排查工作，全年排查各类矛盾纠纷 30 起，成功调解 29 起，调解成功率达到 97%。畅通群众诉求渠道，规范运行“12345”政务服务便民热线，按时办结率达到 99.5%，严格落实领导干部定期接访下访制度，全年接访群众 50 人次，现场解决诉求 50 件。针对婚姻家庭、邻里纠纷等高频矛盾，开展“以案释法”活动 2 次，切实增强群众的法治意识。 目前，已显著达成“化解一起纠纷、教育一片群众”的良好效果。</w:t>
      </w:r>
    </w:p>
    <w:p w14:paraId="443E9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（五）大力深化普法宣传工作，全面提升全民法治素养。严格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落实“谁执法谁普法”责任制，紧密结合“3·15”“6·26”“12·4”国家宪法日等重要时间节点，积极开展送法进乡村、进学校、进企业活动，累计达25场次。积极创新普法方式方法，精心打造“矩阵式 + 靶向式”普法模式，针对青少年、老年人等不同群体精准定制普法内容，通过模拟法庭、有奖竞答等互动形式有效增强普法吸引力。成功培育“法律明白人”92名，依托法治文化宣传栏、村级微信群等载体及时推送法律知识120余条，有力推动法治理念融入群众日常生活。全年普法覆盖群众0.9万余人次，群众尊法学法守法用法意识得到明显增强。</w:t>
      </w:r>
    </w:p>
    <w:p w14:paraId="0C11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二、2025年度推进法治政府建设存在的不足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与成因</w:t>
      </w:r>
    </w:p>
    <w:p w14:paraId="637E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（一）基层执法能力尚存在短板。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分执法人员法律专业知识基础不够扎实，在面对复杂情况时，于证据收集、法律适用等方面实践经验不足。究其原因，主要是基层执法队伍人员专业培训缺乏针对性，常态化实战演练机制缺失，且执法装备更新不及时，严重影响了执法效能。</w:t>
      </w:r>
    </w:p>
    <w:p w14:paraId="51DEE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（二）普法宣传实效性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亟待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提升。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当前，普法工作仍存在“大水漫灌”的粗放现象，部分宣传内容与群众生产生活实际需求结合不够紧密，针对网络诈骗、农村土地流转等热点问题的普法缺乏精准性。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宣传形式仍以传统的发放传单、悬挂横幅为主，对新媒体平台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运用不够充分，难以满足年轻群体的学法需求，导致普法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渗透力不足。</w:t>
      </w:r>
    </w:p>
    <w:p w14:paraId="3272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（三）矛盾化解机制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尚不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完善。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“三调联动”机制运行不够顺畅，部门间信息共享和协同配合不够紧密，部分矛盾纠纷化解存在流程衔接不畅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问题。矛盾纠纷预判预警能力不足，缺乏数字化手段支撑，对潜在风险点发现不及时，化解工作仍以被动处置为主，主动预防作用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充分发挥。</w:t>
      </w:r>
    </w:p>
    <w:p w14:paraId="15ED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（四）法治与数字融合不够深入。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在行政执法监督、政务服务等领域数字化应用不足，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尚未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形成有效的数据研判模型，“智慧法治”建设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滞后。政务服务“一网通办”覆盖率虽高，但部分事项线上办理流程繁琐，跨部门数据共享不充分，未能完全实现“让数据多跑路、群众少跑腿”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29B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三、2026年度推进法治政府建设的主要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部署</w:t>
      </w:r>
    </w:p>
    <w:p w14:paraId="30AD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（一）深化思想武装，强化法治思维。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续深入推进习近平法治思想的学习贯彻工作，建立常态化学习机制，将法治培训纳入干部教育培训的核心内容，计划开展专题培训6场次、执法实训3次，着力提升党员干部运用法治思维和法治方式解决问题的能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严格落实法治建设责任制，完善考核评价体系，将考核结果与干部评优评先直接挂钩，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以严格的考核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倒逼责任落实。</w:t>
      </w:r>
    </w:p>
    <w:p w14:paraId="57320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（二）提升执法质效，规范执法行为。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加强执法队伍专业化建设，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充实基层执法力量，强化执法队员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专业法律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，开展“案例教学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实战演练”相结合的培训活动，重点提升复杂案件处置能力。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更新执法装备，推进执法全过程记录数字化，建立行政执法案例指导制度，定期开展案卷评查和执法监督，规范执法自由裁量权。深化综合行政执法改革，健全与县级执法部门的协作机制，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提升执法协同效能。</w:t>
      </w:r>
    </w:p>
    <w:p w14:paraId="3B843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（三）创新普法模式，增强宣传实效。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构建“精准化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多元化”普法体系，针对不同群体需求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制定普法清单，重点围绕乡村振兴、社会保障、风险防范等领域开展靶向普法。充分运用短视频、直播等新媒体平台，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打造“乡音普法”品牌，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切实增强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普法趣味性和感染力。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深化“法律明白人”培育工程，开展业务培训4次，充分发挥其在基层普法、矛盾调解中的积极作用，推动法治宣传向基层深入延伸。</w:t>
      </w:r>
    </w:p>
    <w:p w14:paraId="0B56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（四）完善化解机制，筑牢平安防线。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优化“一站式”矛盾纠纷调处中心功能，健全“三调联动”工作规则，加强部门间信息共享和协同配合，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矛盾化解效率。引入数字化矛盾排查预警系统，依托网格员队伍建立常态化排查机制，实现风险点精准识别、提前干预。推广“警律联调”模式，聘请专业律师参与矛盾化解，提升调解专业性，确保“小事不出村、大事不出乡、矛盾不上交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目标的实现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E168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（五）推进数字赋能，提升服务水平。 全力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快“智慧法治”建设进程，积极推进行政执法监督、政务服务等重点领域的数字化转型工作。精心搭建跨部门数据共享平台，全面优化线上办事流程，确保实现80%以上高频事项“一网通办”“跨域通办”的目标。着力建立法治政府建设数据研判中心，充分运用大数据深入分析执法热点以及矛盾纠纷趋势，为科学决策提供坚实的数据支撑。持续深化政务公开工作，进一步拓宽公开渠道，切实提升政府工作的透明度与公信力。</w:t>
      </w:r>
    </w:p>
    <w:p w14:paraId="6735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到2026年，大桥江乡将坚定不移地坚持问题导向，以显著提升治理效能为核心目标，持续深入推进法治政府建设的各项工作，全面补齐短板、大力强化弱项，不断提高依法行政的整体水平，为乡域经济社会的高质量发展提供坚实可靠的法治保障。</w:t>
      </w:r>
    </w:p>
    <w:p w14:paraId="6425C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974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7E8AF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大桥江乡人民政府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0A313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698830-45D3-42EA-87D4-AD11CBF713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31DBA38-EB3A-4476-9F2C-D34F2D66F92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071A792-F5EF-4F07-811F-83AB1EA1A8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A49B184-F6E1-47E8-BD28-E5BC4269C5D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AC36CE9-900D-4B7E-B91D-DF2BCF2A42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675B9"/>
    <w:rsid w:val="0293427E"/>
    <w:rsid w:val="02E57A68"/>
    <w:rsid w:val="141870CC"/>
    <w:rsid w:val="26D675B9"/>
    <w:rsid w:val="32720344"/>
    <w:rsid w:val="34C04B85"/>
    <w:rsid w:val="3C0B62BC"/>
    <w:rsid w:val="3C1A4DAA"/>
    <w:rsid w:val="3F026ED1"/>
    <w:rsid w:val="529E3DF4"/>
    <w:rsid w:val="73C53A5A"/>
    <w:rsid w:val="752E2E69"/>
    <w:rsid w:val="75AD3D8E"/>
    <w:rsid w:val="774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3534</Words>
  <Characters>3600</Characters>
  <Lines>0</Lines>
  <Paragraphs>0</Paragraphs>
  <TotalTime>45</TotalTime>
  <ScaleCrop>false</ScaleCrop>
  <LinksUpToDate>false</LinksUpToDate>
  <CharactersWithSpaces>3662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2026-01-14T03:19:00Z</dcterms:created>
  <dc:creator>月归来</dc:creator>
  <cp:lastModifiedBy>月归来</cp:lastModifiedBy>
  <dcterms:modified xsi:type="dcterms:W3CDTF">2026-01-23T01:22:16Z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058838EEF6234F90A9C4E1912DF188F8_13</vt:lpwstr>
  </property>
  <property fmtid="{D5CDD505-2E9C-101B-9397-08002B2CF9AE}" pid="4" name="KSOTemplateDocerSaveRecord">
    <vt:lpwstr>eyJoZGlkIjoiOWUyMzlmY2EzMGE5NDczMDMwYWI5MDExNzUzMTQxOTIiLCJ1c2VySWQiOiIyOTc2MjI0MjIifQ==</vt:lpwstr>
  </property>
</Properties>
</file>