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湖南省涉企经营许可事项告知书</w:t>
      </w:r>
    </w:p>
    <w:p>
      <w:pPr>
        <w:spacing w:beforeLines="0" w:afterLines="0"/>
        <w:jc w:val="center"/>
        <w:rPr>
          <w:rFonts w:hint="eastAsia" w:ascii="宋体" w:hAnsi="宋体"/>
          <w:sz w:val="44"/>
          <w:szCs w:val="44"/>
        </w:rPr>
      </w:pPr>
    </w:p>
    <w:p>
      <w:pPr>
        <w:widowControl/>
        <w:numPr>
          <w:ilvl w:val="0"/>
          <w:numId w:val="1"/>
        </w:numPr>
        <w:spacing w:beforeLines="0" w:afterLines="0" w:line="600" w:lineRule="exact"/>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许可事项名称及编码</w:t>
      </w:r>
    </w:p>
    <w:p>
      <w:pPr>
        <w:spacing w:beforeLines="0" w:afterLines="0"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从事生活垃圾（含粪便</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lang w:eastAsia="zh-CN"/>
        </w:rPr>
        <w:t>经营性清扫、收集、运输处理服务审批</w:t>
      </w:r>
      <w:r>
        <w:rPr>
          <w:rFonts w:hint="eastAsia" w:ascii="仿宋" w:hAnsi="仿宋" w:eastAsia="仿宋" w:cs="仿宋"/>
          <w:kern w:val="0"/>
          <w:sz w:val="32"/>
          <w:szCs w:val="32"/>
          <w:lang w:val="en-US" w:eastAsia="zh-CN"/>
        </w:rPr>
        <w:t xml:space="preserve">       000117013000 </w:t>
      </w:r>
    </w:p>
    <w:p>
      <w:pPr>
        <w:widowControl/>
        <w:numPr>
          <w:ilvl w:val="0"/>
          <w:numId w:val="1"/>
        </w:numPr>
        <w:spacing w:beforeLines="0" w:afterLines="0" w:line="600" w:lineRule="exact"/>
        <w:ind w:left="1350" w:leftChars="0" w:hanging="720" w:firstLineChars="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许可事项告知部门</w:t>
      </w:r>
    </w:p>
    <w:p>
      <w:pPr>
        <w:widowControl/>
        <w:numPr>
          <w:numId w:val="0"/>
        </w:numPr>
        <w:spacing w:beforeLines="0" w:afterLines="0" w:line="600" w:lineRule="exact"/>
        <w:ind w:left="630" w:leftChars="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麻阳苗族自治县城市管理和综合执法局</w:t>
      </w:r>
    </w:p>
    <w:p>
      <w:pPr>
        <w:widowControl/>
        <w:spacing w:beforeLines="0" w:afterLines="0" w:line="600" w:lineRule="exact"/>
        <w:ind w:firstLine="630"/>
        <w:jc w:val="left"/>
        <w:rPr>
          <w:rFonts w:hint="eastAsia" w:ascii="黑体" w:hAnsi="黑体" w:eastAsia="黑体" w:cs="宋体"/>
          <w:color w:val="000000"/>
          <w:kern w:val="0"/>
          <w:sz w:val="32"/>
          <w:szCs w:val="32"/>
        </w:rPr>
      </w:pPr>
      <w:r>
        <w:rPr>
          <w:rFonts w:hint="eastAsia" w:ascii="楷体_GB2312" w:hAnsi="宋体" w:eastAsia="楷体_GB2312" w:cs="宋体"/>
          <w:kern w:val="0"/>
          <w:sz w:val="32"/>
          <w:szCs w:val="32"/>
          <w:lang w:val="en-US" w:eastAsia="zh-CN"/>
        </w:rPr>
        <w:t xml:space="preserve"> </w:t>
      </w:r>
      <w:r>
        <w:rPr>
          <w:rFonts w:hint="eastAsia" w:ascii="黑体" w:hAnsi="黑体" w:eastAsia="黑体" w:cs="宋体"/>
          <w:color w:val="000000"/>
          <w:kern w:val="0"/>
          <w:sz w:val="32"/>
          <w:szCs w:val="32"/>
        </w:rPr>
        <w:t>三、准予许可的条件</w:t>
      </w:r>
    </w:p>
    <w:p>
      <w:pPr>
        <w:spacing w:beforeLines="0" w:afterLines="0" w:line="600" w:lineRule="exact"/>
        <w:ind w:firstLine="640" w:firstLineChars="200"/>
        <w:rPr>
          <w:rFonts w:hint="eastAsia" w:ascii="仿宋_GB2312" w:eastAsia="仿宋_GB2312"/>
          <w:sz w:val="32"/>
          <w:szCs w:val="32"/>
        </w:rPr>
      </w:pPr>
      <w:r>
        <w:rPr>
          <w:rFonts w:hint="eastAsia" w:ascii="仿宋_GB2312" w:eastAsia="仿宋_GB2312"/>
          <w:sz w:val="32"/>
          <w:szCs w:val="32"/>
        </w:rPr>
        <w:t>（一）本行政许可事项获得批准应当具备下列条件：</w:t>
      </w:r>
    </w:p>
    <w:p>
      <w:pPr>
        <w:spacing w:beforeLines="0" w:afterLines="0" w:line="600" w:lineRule="exact"/>
        <w:ind w:firstLine="960" w:firstLineChars="3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1、有固定的场所或者组织机构；</w:t>
      </w:r>
    </w:p>
    <w:p>
      <w:pPr>
        <w:spacing w:beforeLines="0" w:afterLines="0" w:line="600" w:lineRule="exact"/>
        <w:ind w:firstLine="960" w:firstLineChars="3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2.有专职人员</w:t>
      </w:r>
    </w:p>
    <w:p>
      <w:pPr>
        <w:spacing w:beforeLines="0" w:afterLines="0" w:line="600" w:lineRule="exact"/>
        <w:ind w:firstLine="960" w:firstLineChars="3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3.有合法的资产和经费来源</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（二）应当提交的材料及期限：</w:t>
      </w:r>
    </w:p>
    <w:p>
      <w:pPr>
        <w:numPr>
          <w:numId w:val="0"/>
        </w:numPr>
        <w:ind w:firstLine="960" w:firstLineChars="300"/>
        <w:jc w:val="both"/>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申请报告</w:t>
      </w:r>
      <w:r>
        <w:rPr>
          <w:rFonts w:hint="eastAsia" w:ascii="仿宋" w:hAnsi="仿宋" w:eastAsia="仿宋" w:cs="仿宋"/>
          <w:sz w:val="32"/>
          <w:szCs w:val="32"/>
          <w:lang w:eastAsia="zh-CN"/>
        </w:rPr>
        <w:t>；</w:t>
      </w:r>
      <w:bookmarkStart w:id="0" w:name="_GoBack"/>
      <w:bookmarkEnd w:id="0"/>
    </w:p>
    <w:p>
      <w:pPr>
        <w:numPr>
          <w:numId w:val="0"/>
        </w:numPr>
        <w:ind w:leftChars="0" w:firstLine="960" w:firstLineChars="300"/>
        <w:jc w:val="both"/>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企业营业执照、申请材料真实性保证书、委托代表证明书、代理人身份证</w:t>
      </w:r>
      <w:r>
        <w:rPr>
          <w:rFonts w:hint="eastAsia" w:ascii="仿宋" w:hAnsi="仿宋" w:eastAsia="仿宋" w:cs="仿宋"/>
          <w:sz w:val="32"/>
          <w:szCs w:val="32"/>
          <w:lang w:eastAsia="zh-CN"/>
        </w:rPr>
        <w:t>；</w:t>
      </w:r>
    </w:p>
    <w:p>
      <w:pPr>
        <w:numPr>
          <w:numId w:val="0"/>
        </w:numPr>
        <w:ind w:leftChars="0"/>
        <w:jc w:val="both"/>
        <w:rPr>
          <w:rFonts w:hint="eastAsia"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从事环境卫生经营性服务活动的专用工具、车辆设备和设施的证</w:t>
      </w:r>
      <w:r>
        <w:rPr>
          <w:rFonts w:hint="eastAsia" w:ascii="仿宋" w:hAnsi="仿宋" w:eastAsia="仿宋" w:cs="仿宋"/>
          <w:sz w:val="32"/>
          <w:szCs w:val="32"/>
          <w:lang w:eastAsia="zh-CN"/>
        </w:rPr>
        <w:t>明；</w:t>
      </w:r>
    </w:p>
    <w:p>
      <w:pPr>
        <w:spacing w:beforeLines="0" w:afterLines="0" w:line="600" w:lineRule="exact"/>
        <w:ind w:firstLine="960" w:firstLineChars="300"/>
        <w:rPr>
          <w:rFonts w:hint="default" w:ascii="楷体_GB2312" w:hAnsi="宋体" w:eastAsia="楷体_GB2312" w:cs="宋体"/>
          <w:kern w:val="0"/>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具有允许使用的生活废弃物处置场所的证明材料。</w:t>
      </w:r>
    </w:p>
    <w:p>
      <w:pPr>
        <w:spacing w:beforeLines="0" w:afterLines="0" w:line="600" w:lineRule="exact"/>
        <w:ind w:firstLine="640" w:firstLineChars="200"/>
        <w:rPr>
          <w:rFonts w:hint="eastAsia" w:ascii="仿宋_GB2312" w:eastAsia="仿宋_GB2312"/>
          <w:sz w:val="32"/>
          <w:szCs w:val="32"/>
        </w:rPr>
      </w:pPr>
      <w:r>
        <w:rPr>
          <w:rFonts w:hint="eastAsia" w:ascii="仿宋_GB2312" w:eastAsia="仿宋_GB2312"/>
          <w:sz w:val="32"/>
          <w:szCs w:val="32"/>
        </w:rPr>
        <w:t>上述材料，申请人应当：</w:t>
      </w:r>
    </w:p>
    <w:p>
      <w:pPr>
        <w:spacing w:beforeLines="0" w:afterLines="0" w:line="600" w:lineRule="exact"/>
        <w:ind w:firstLine="640" w:firstLineChars="200"/>
        <w:rPr>
          <w:rFonts w:hint="eastAsia" w:ascii="仿宋_GB2312" w:eastAsia="仿宋_GB2312"/>
          <w:sz w:val="32"/>
          <w:szCs w:val="32"/>
        </w:rPr>
      </w:pPr>
      <w:r>
        <w:rPr>
          <w:rFonts w:hint="eastAsia" w:ascii="仿宋_GB2312" w:eastAsia="仿宋_GB2312"/>
          <w:sz w:val="32"/>
          <w:szCs w:val="32"/>
        </w:rPr>
        <w:t>□在</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个工作日内提交“应当提交的材料”中的第</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项、第</w:t>
      </w:r>
      <w:r>
        <w:rPr>
          <w:rFonts w:hint="eastAsia" w:ascii="仿宋_GB2312" w:eastAsia="仿宋_GB2312"/>
          <w:sz w:val="32"/>
          <w:szCs w:val="32"/>
          <w:u w:val="single"/>
        </w:rPr>
        <w:t xml:space="preserve">  </w:t>
      </w:r>
      <w:r>
        <w:rPr>
          <w:rFonts w:hint="eastAsia" w:ascii="仿宋_GB2312" w:eastAsia="仿宋_GB2312"/>
          <w:sz w:val="32"/>
          <w:szCs w:val="32"/>
        </w:rPr>
        <w:t>项…。</w:t>
      </w:r>
    </w:p>
    <w:p>
      <w:pPr>
        <w:spacing w:beforeLines="0" w:afterLines="0" w:line="600" w:lineRule="exact"/>
        <w:ind w:firstLine="640" w:firstLineChars="200"/>
        <w:rPr>
          <w:rFonts w:hint="eastAsia" w:ascii="仿宋_GB2312" w:eastAsia="仿宋_GB2312"/>
          <w:sz w:val="32"/>
          <w:szCs w:val="32"/>
        </w:rPr>
      </w:pPr>
      <w:r>
        <w:rPr>
          <w:rFonts w:hint="eastAsia" w:ascii="仿宋_GB2312" w:eastAsia="仿宋_GB2312"/>
          <w:sz w:val="32"/>
          <w:szCs w:val="32"/>
        </w:rPr>
        <w:t>□在行政机关对申请人自愿承诺的内容是否属实进行检查时提交：上述“应当提交的材料”中的第</w:t>
      </w:r>
      <w:r>
        <w:rPr>
          <w:rFonts w:hint="eastAsia" w:ascii="仿宋_GB2312" w:eastAsia="仿宋_GB2312"/>
          <w:sz w:val="32"/>
          <w:szCs w:val="32"/>
          <w:u w:val="single"/>
        </w:rPr>
        <w:t xml:space="preserve">  </w:t>
      </w:r>
      <w:r>
        <w:rPr>
          <w:rFonts w:hint="eastAsia" w:ascii="仿宋_GB2312" w:eastAsia="仿宋_GB2312"/>
          <w:sz w:val="32"/>
          <w:szCs w:val="32"/>
        </w:rPr>
        <w:t>项、第</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2</w:t>
      </w:r>
      <w:r>
        <w:rPr>
          <w:rFonts w:hint="eastAsia" w:ascii="仿宋_GB2312" w:eastAsia="仿宋_GB2312"/>
          <w:sz w:val="32"/>
          <w:szCs w:val="32"/>
        </w:rPr>
        <w:t>项…。</w:t>
      </w:r>
    </w:p>
    <w:p>
      <w:pPr>
        <w:spacing w:beforeLines="0" w:afterLines="0"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（注：以上由受理人员填写）</w:t>
      </w:r>
    </w:p>
    <w:p>
      <w:pPr>
        <w:widowControl/>
        <w:spacing w:beforeLines="0" w:afterLines="0"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四、承诺的效力</w:t>
      </w:r>
    </w:p>
    <w:p>
      <w:pPr>
        <w:spacing w:beforeLines="0" w:afterLines="0" w:line="600" w:lineRule="exact"/>
        <w:ind w:firstLine="640" w:firstLineChars="200"/>
        <w:rPr>
          <w:rFonts w:hint="eastAsia" w:ascii="仿宋_GB2312" w:eastAsia="仿宋_GB2312"/>
          <w:sz w:val="32"/>
          <w:szCs w:val="32"/>
        </w:rPr>
      </w:pPr>
      <w:r>
        <w:rPr>
          <w:rFonts w:hint="eastAsia" w:ascii="仿宋_GB2312" w:eastAsia="仿宋_GB2312"/>
          <w:sz w:val="32"/>
          <w:szCs w:val="32"/>
        </w:rPr>
        <w:t>申请人作出符合许可条件的承诺，并提交签章的承诺书后，行政机关应当场作出行政许可决定。</w:t>
      </w:r>
    </w:p>
    <w:p>
      <w:pPr>
        <w:spacing w:beforeLines="0" w:afterLines="0" w:line="600" w:lineRule="exact"/>
        <w:ind w:firstLine="640" w:firstLineChars="200"/>
        <w:rPr>
          <w:rFonts w:hint="eastAsia" w:ascii="仿宋_GB2312" w:eastAsia="仿宋_GB2312"/>
          <w:sz w:val="32"/>
          <w:szCs w:val="32"/>
        </w:rPr>
      </w:pPr>
      <w:r>
        <w:rPr>
          <w:rFonts w:hint="eastAsia" w:ascii="仿宋_GB2312" w:eastAsia="仿宋_GB2312"/>
          <w:sz w:val="32"/>
          <w:szCs w:val="32"/>
        </w:rPr>
        <w:t>申请人承诺已具备经营许可条件的，领证后即可开展经营；申请人尚不具备经营许可条件，但承诺领证后一定期限内具备的，达到经营许可条件并按要求补齐材料后，方可开展经营。</w:t>
      </w:r>
    </w:p>
    <w:p>
      <w:pPr>
        <w:widowControl/>
        <w:spacing w:beforeLines="0" w:afterLines="0"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五、承诺的方式</w:t>
      </w:r>
    </w:p>
    <w:p>
      <w:pPr>
        <w:spacing w:beforeLines="0" w:afterLines="0" w:line="600" w:lineRule="exact"/>
        <w:ind w:firstLine="640" w:firstLineChars="200"/>
        <w:rPr>
          <w:rFonts w:hint="eastAsia" w:ascii="仿宋_GB2312" w:eastAsia="仿宋_GB2312"/>
          <w:sz w:val="32"/>
          <w:szCs w:val="32"/>
        </w:rPr>
      </w:pPr>
      <w:r>
        <w:rPr>
          <w:rFonts w:hint="eastAsia" w:ascii="仿宋_GB2312" w:eastAsia="仿宋_GB2312"/>
          <w:sz w:val="32"/>
          <w:szCs w:val="32"/>
        </w:rPr>
        <w:t>本行政许可事项采用书面承诺方式，申请人愿意作出承诺的，应当向行政机关提交本人或委托代理人签字后的承诺书原件。委托办理的，申请人应签署委托代理书。</w:t>
      </w:r>
    </w:p>
    <w:p>
      <w:pPr>
        <w:widowControl/>
        <w:spacing w:beforeLines="0" w:afterLines="0"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六、不实承诺的责任</w:t>
      </w:r>
    </w:p>
    <w:p>
      <w:pPr>
        <w:spacing w:beforeLines="0" w:afterLines="0" w:line="600" w:lineRule="exact"/>
        <w:ind w:firstLine="640" w:firstLineChars="200"/>
        <w:rPr>
          <w:rFonts w:hint="eastAsia" w:ascii="仿宋_GB2312" w:eastAsia="仿宋_GB2312"/>
          <w:sz w:val="32"/>
          <w:szCs w:val="32"/>
        </w:rPr>
      </w:pPr>
      <w:r>
        <w:rPr>
          <w:rFonts w:hint="eastAsia" w:ascii="仿宋_GB2312" w:eastAsia="仿宋_GB2312"/>
          <w:sz w:val="32"/>
          <w:szCs w:val="32"/>
        </w:rPr>
        <w:t>申请人在承诺书约定的期限内未提交材料或者提交材料不符合要求的，行政机关可视情撤销许可决定；发现申请人不符合承诺条件开展经营的，行政机关应当责令其限期整改。申请人逾期不整改或整改后仍达不到要求的，行政机关应当依法撤销许可决定。被撤销许可决定的，行政许可范围内的经营活动应当立即停止，申请人基于行政许可取得的利益不受法律保护。申请人相关失信行为信息将记入诚信档案，并不再适用告知承诺的审批方式。</w:t>
      </w:r>
    </w:p>
    <w:p>
      <w:pPr>
        <w:widowControl/>
        <w:spacing w:beforeLines="0" w:afterLines="0"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七、行政机关核查权力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b w:val="0"/>
          <w:bCs w:val="0"/>
          <w:i w:val="0"/>
          <w:iCs w:val="0"/>
          <w:caps w:val="0"/>
          <w:color w:val="000000"/>
          <w:spacing w:val="0"/>
          <w:sz w:val="33"/>
          <w:szCs w:val="33"/>
          <w:shd w:val="clear" w:fill="FFFFFF"/>
          <w:lang w:eastAsia="zh-CN"/>
        </w:rPr>
        <w:t>《</w:t>
      </w:r>
      <w:r>
        <w:rPr>
          <w:rFonts w:hint="eastAsia" w:ascii="仿宋" w:hAnsi="仿宋" w:eastAsia="仿宋" w:cs="仿宋"/>
          <w:b w:val="0"/>
          <w:bCs w:val="0"/>
          <w:i w:val="0"/>
          <w:iCs w:val="0"/>
          <w:caps w:val="0"/>
          <w:color w:val="000000"/>
          <w:spacing w:val="0"/>
          <w:sz w:val="33"/>
          <w:szCs w:val="33"/>
          <w:shd w:val="clear" w:fill="FFFFFF"/>
        </w:rPr>
        <w:t>城市生活垃圾管理办法</w:t>
      </w:r>
      <w:r>
        <w:rPr>
          <w:rFonts w:hint="eastAsia" w:ascii="仿宋" w:hAnsi="仿宋" w:eastAsia="仿宋" w:cs="仿宋"/>
          <w:b w:val="0"/>
          <w:bCs w:val="0"/>
          <w:i w:val="0"/>
          <w:iCs w:val="0"/>
          <w:caps w:val="0"/>
          <w:color w:val="000000"/>
          <w:spacing w:val="0"/>
          <w:sz w:val="32"/>
          <w:szCs w:val="32"/>
          <w:shd w:val="clear" w:fill="FFFFFF"/>
          <w:lang w:eastAsia="zh-CN"/>
        </w:rPr>
        <w:t>》</w:t>
      </w:r>
      <w:r>
        <w:rPr>
          <w:rStyle w:val="6"/>
          <w:rFonts w:hint="eastAsia" w:ascii="仿宋" w:hAnsi="仿宋" w:eastAsia="仿宋" w:cs="仿宋"/>
          <w:i w:val="0"/>
          <w:iCs w:val="0"/>
          <w:caps w:val="0"/>
          <w:color w:val="000000"/>
          <w:spacing w:val="0"/>
          <w:sz w:val="32"/>
          <w:szCs w:val="32"/>
          <w:bdr w:val="none" w:color="auto" w:sz="0" w:space="0"/>
          <w:shd w:val="clear" w:fill="FFFFFF"/>
        </w:rPr>
        <w:t>第二十九条　</w:t>
      </w:r>
      <w:r>
        <w:rPr>
          <w:rStyle w:val="6"/>
          <w:rFonts w:hint="eastAsia" w:ascii="仿宋" w:hAnsi="仿宋" w:eastAsia="仿宋" w:cs="仿宋"/>
          <w:i w:val="0"/>
          <w:iCs w:val="0"/>
          <w:caps w:val="0"/>
          <w:color w:val="000000"/>
          <w:spacing w:val="0"/>
          <w:sz w:val="32"/>
          <w:szCs w:val="32"/>
          <w:bdr w:val="none" w:color="auto" w:sz="0" w:space="0"/>
          <w:shd w:val="clear" w:fill="FFFFFF"/>
          <w:lang w:eastAsia="zh-CN"/>
        </w:rPr>
        <w:t>第二款</w:t>
      </w:r>
      <w:r>
        <w:rPr>
          <w:rStyle w:val="6"/>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直辖市、市、县人民政府建设（环境卫生）主管部门应当对本行政区域内城市生活垃圾经营性清扫、收集、运输、处置企业执行本办法的情况进行监督检查；根据需要，可以向城市生活垃圾经营性处置企业派驻监督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第三十条　</w:t>
      </w:r>
      <w:r>
        <w:rPr>
          <w:rFonts w:hint="eastAsia" w:ascii="仿宋" w:hAnsi="仿宋" w:eastAsia="仿宋" w:cs="仿宋"/>
          <w:i w:val="0"/>
          <w:iCs w:val="0"/>
          <w:caps w:val="0"/>
          <w:color w:val="000000"/>
          <w:spacing w:val="0"/>
          <w:sz w:val="32"/>
          <w:szCs w:val="32"/>
          <w:bdr w:val="none" w:color="auto" w:sz="0" w:space="0"/>
          <w:shd w:val="clear" w:fill="FFFFFF"/>
        </w:rPr>
        <w:t>直辖市、市、县人民政府建设（环境卫生）主管部门实施监督检查时，有权采取下列措施：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（一）查阅复制有关文件和资料；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（二）要求被检查的单位和个人就有关问题做出说明；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（三）进入现场开展检查；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（四）责令有关单位和个人改正违法行为。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有关单位和个人应当支持配合监督检查并提供工作方便，不得妨碍与阻挠监督检查人员依法执行职务。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第三十一条　</w:t>
      </w:r>
      <w:r>
        <w:rPr>
          <w:rFonts w:hint="eastAsia" w:ascii="仿宋" w:hAnsi="仿宋" w:eastAsia="仿宋" w:cs="仿宋"/>
          <w:i w:val="0"/>
          <w:iCs w:val="0"/>
          <w:caps w:val="0"/>
          <w:color w:val="000000"/>
          <w:spacing w:val="0"/>
          <w:sz w:val="32"/>
          <w:szCs w:val="32"/>
          <w:bdr w:val="none" w:color="auto" w:sz="0" w:space="0"/>
          <w:shd w:val="clear" w:fill="FFFFFF"/>
        </w:rPr>
        <w:t>直辖市、市、县人民政府建设（环境卫生）主管部门应当委托具有计量认证资格的机构，定期对城市生活垃圾处理场站的垃圾处置数量、质量和环境影响进行监测。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第三十二条　</w:t>
      </w:r>
      <w:r>
        <w:rPr>
          <w:rFonts w:hint="eastAsia" w:ascii="仿宋" w:hAnsi="仿宋" w:eastAsia="仿宋" w:cs="仿宋"/>
          <w:i w:val="0"/>
          <w:iCs w:val="0"/>
          <w:caps w:val="0"/>
          <w:color w:val="000000"/>
          <w:spacing w:val="0"/>
          <w:sz w:val="32"/>
          <w:szCs w:val="32"/>
          <w:bdr w:val="none" w:color="auto" w:sz="0" w:space="0"/>
          <w:shd w:val="clear" w:fill="FFFFFF"/>
        </w:rPr>
        <w:t>城市生活垃圾经营性清扫、收集、运输、处置服务许可有效期届满需要继续从事城市生活垃圾经营性清扫、收集、运输、处置活动的，应当在有效期届满30日前向原发证机关申请办理延续手续。准予延续的，直辖市、市、县建设（环境卫生）主管部门应当与城市生活垃圾经营性清扫、收集、运输、处置企业重新订立经营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第三十三条　</w:t>
      </w:r>
      <w:r>
        <w:rPr>
          <w:rFonts w:hint="eastAsia" w:ascii="仿宋" w:hAnsi="仿宋" w:eastAsia="仿宋" w:cs="仿宋"/>
          <w:i w:val="0"/>
          <w:iCs w:val="0"/>
          <w:caps w:val="0"/>
          <w:color w:val="000000"/>
          <w:spacing w:val="0"/>
          <w:sz w:val="32"/>
          <w:szCs w:val="32"/>
          <w:bdr w:val="none" w:color="auto" w:sz="0" w:space="0"/>
          <w:shd w:val="clear" w:fill="FFFFFF"/>
        </w:rPr>
        <w:t>有下列情形之一的，可以依法撤销许可证书：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（一）建设（环境卫生）主管部门工作人员滥用职权、玩忽职守作出准予城市生活垃圾清扫、收集、运输或者处置许可决定的；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（二）超越法定职权作出准予城市生活垃圾清扫、收集、运输或者处置许可决定的；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（三）违反法定程序作出准予城市生活垃圾清扫、收集、运输或者处置许可决定的；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（四）对不符合许可条件的申请人作出准予许可的；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（五）依法可以撤销许可的其他情形。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申请人以欺骗、贿赂等不正当手段取得许可的，应当予以撤销。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第三十四条　</w:t>
      </w:r>
      <w:r>
        <w:rPr>
          <w:rFonts w:hint="eastAsia" w:ascii="仿宋" w:hAnsi="仿宋" w:eastAsia="仿宋" w:cs="仿宋"/>
          <w:i w:val="0"/>
          <w:iCs w:val="0"/>
          <w:caps w:val="0"/>
          <w:color w:val="000000"/>
          <w:spacing w:val="0"/>
          <w:sz w:val="32"/>
          <w:szCs w:val="32"/>
          <w:bdr w:val="none" w:color="auto" w:sz="0" w:space="0"/>
          <w:shd w:val="clear" w:fill="FFFFFF"/>
        </w:rPr>
        <w:t>有下列情形之一的，从事城市生活垃圾经营性清扫、收集、运输或者处置的企业应当向原许可机关提出注销许可证的申请，交回许可证书；原许可机关应当办理注销手续，公告其许可证书作废：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（一）许可事项有效期届满，未依法申请延期的；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（二）企业依法终止的；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（三）许可证依法被撤回、撤销或者吊销的；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（四）法律、法规规定的其他应当注销的情形。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第三十五条　</w:t>
      </w:r>
      <w:r>
        <w:rPr>
          <w:rStyle w:val="6"/>
          <w:rFonts w:hint="eastAsia" w:ascii="仿宋" w:hAnsi="仿宋" w:eastAsia="仿宋" w:cs="仿宋"/>
          <w:i w:val="0"/>
          <w:iCs w:val="0"/>
          <w:caps w:val="0"/>
          <w:color w:val="000000"/>
          <w:spacing w:val="0"/>
          <w:sz w:val="32"/>
          <w:szCs w:val="32"/>
          <w:bdr w:val="none" w:color="auto" w:sz="0" w:space="0"/>
          <w:shd w:val="clear" w:fill="FFFFFF"/>
          <w:lang w:eastAsia="zh-CN"/>
        </w:rPr>
        <w:t>第一款</w:t>
      </w:r>
      <w:r>
        <w:rPr>
          <w:rFonts w:hint="eastAsia" w:ascii="仿宋" w:hAnsi="仿宋" w:eastAsia="仿宋" w:cs="仿宋"/>
          <w:i w:val="0"/>
          <w:iCs w:val="0"/>
          <w:caps w:val="0"/>
          <w:color w:val="000000"/>
          <w:spacing w:val="0"/>
          <w:sz w:val="32"/>
          <w:szCs w:val="32"/>
          <w:bdr w:val="none" w:color="auto" w:sz="0" w:space="0"/>
          <w:shd w:val="clear" w:fill="FFFFFF"/>
        </w:rPr>
        <w:t>从事城市生活垃圾经营性清扫、收集、运输、处置的企业需停业、歇业的，应当提前半年向所在地直辖市、市、县人民政府建设（环境卫生）主管部门报告，经同意后方可停业或者歇业。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20" w:firstLineChars="10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第三十六条</w:t>
      </w:r>
      <w:r>
        <w:rPr>
          <w:rStyle w:val="6"/>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第二款 </w:t>
      </w:r>
      <w:r>
        <w:rPr>
          <w:rFonts w:hint="eastAsia" w:ascii="仿宋" w:hAnsi="仿宋" w:eastAsia="仿宋" w:cs="仿宋"/>
          <w:i w:val="0"/>
          <w:iCs w:val="0"/>
          <w:caps w:val="0"/>
          <w:color w:val="000000"/>
          <w:spacing w:val="0"/>
          <w:sz w:val="32"/>
          <w:szCs w:val="32"/>
          <w:bdr w:val="none" w:color="auto" w:sz="0" w:space="0"/>
          <w:shd w:val="clear" w:fill="FFFFFF"/>
        </w:rPr>
        <w:t>从事城市生活垃圾经营性清扫、收集、运输和处置的企业，应当制定突发事件生活垃圾污染防范的应急方案，并报所在地直辖市、市、县人民政府建设（环境卫生）主管部门备案。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lang w:eastAsia="zh-CN"/>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p>
    <w:p>
      <w:pPr>
        <w:spacing w:beforeLines="0" w:afterLines="0" w:line="600" w:lineRule="exact"/>
        <w:ind w:firstLine="640" w:firstLineChars="200"/>
        <w:rPr>
          <w:rFonts w:hint="eastAsia" w:ascii="仿宋" w:hAnsi="仿宋" w:eastAsia="仿宋" w:cs="仿宋"/>
          <w:b w:val="0"/>
          <w:bCs w:val="0"/>
          <w:kern w:val="0"/>
          <w:sz w:val="32"/>
          <w:szCs w:val="32"/>
        </w:rPr>
      </w:pPr>
    </w:p>
    <w:p>
      <w:pPr>
        <w:spacing w:beforeLines="0" w:afterLines="0"/>
        <w:rPr>
          <w:rFonts w:hint="eastAsia" w:ascii="仿宋" w:hAnsi="仿宋" w:eastAsia="仿宋" w:cs="仿宋"/>
          <w:sz w:val="32"/>
          <w:szCs w:val="32"/>
        </w:rPr>
      </w:pPr>
    </w:p>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ndalus">
    <w:panose1 w:val="02020603050405020304"/>
    <w:charset w:val="00"/>
    <w:family w:val="auto"/>
    <w:pitch w:val="default"/>
    <w:sig w:usb0="00002003" w:usb1="80000000" w:usb2="00000008" w:usb3="00000000" w:csb0="00000041" w:csb1="20080000"/>
  </w:font>
  <w:font w:name="Aparajita">
    <w:panose1 w:val="020B0604020202020204"/>
    <w:charset w:val="00"/>
    <w:family w:val="auto"/>
    <w:pitch w:val="default"/>
    <w:sig w:usb0="00008003" w:usb1="00000000" w:usb2="00000000" w:usb3="00000000" w:csb0="00000001" w:csb1="00000000"/>
  </w:font>
  <w:font w:name="Aharoni">
    <w:panose1 w:val="02010803020104030203"/>
    <w:charset w:val="00"/>
    <w:family w:val="auto"/>
    <w:pitch w:val="default"/>
    <w:sig w:usb0="00000801" w:usb1="00000000" w:usb2="00000000" w:usb3="00000000" w:csb0="00000020" w:csb1="00200000"/>
  </w:font>
  <w:font w:name="方正兰亭超细黑简体">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 w:name="Browallia New">
    <w:panose1 w:val="020B0604020202020204"/>
    <w:charset w:val="00"/>
    <w:family w:val="auto"/>
    <w:pitch w:val="default"/>
    <w:sig w:usb0="81000003" w:usb1="00000000" w:usb2="00000000" w:usb3="00000000" w:csb0="00010001" w:csb1="00000000"/>
  </w:font>
  <w:font w:name="Calibri Light">
    <w:panose1 w:val="020F0302020204030204"/>
    <w:charset w:val="00"/>
    <w:family w:val="auto"/>
    <w:pitch w:val="default"/>
    <w:sig w:usb0="A00002EF" w:usb1="4000207B" w:usb2="00000000" w:usb3="00000000" w:csb0="2000019F" w:csb1="00000000"/>
  </w:font>
  <w:font w:name="Candara">
    <w:panose1 w:val="020E0502030303020204"/>
    <w:charset w:val="00"/>
    <w:family w:val="auto"/>
    <w:pitch w:val="default"/>
    <w:sig w:usb0="A00002EF" w:usb1="4000A44B" w:usb2="00000000" w:usb3="00000000" w:csb0="2000019F" w:csb1="00000000"/>
  </w:font>
  <w:font w:name="Consolas">
    <w:panose1 w:val="020B0609020204030204"/>
    <w:charset w:val="00"/>
    <w:family w:val="auto"/>
    <w:pitch w:val="default"/>
    <w:sig w:usb0="E10002FF" w:usb1="4000FCFF" w:usb2="00000009" w:usb3="00000000" w:csb0="6000019F" w:csb1="DFD70000"/>
  </w:font>
  <w:font w:name="Comic Sans MS">
    <w:panose1 w:val="030F0702030302020204"/>
    <w:charset w:val="00"/>
    <w:family w:val="auto"/>
    <w:pitch w:val="default"/>
    <w:sig w:usb0="00000287" w:usb1="40000013" w:usb2="00000000" w:usb3="00000000" w:csb0="2000009F" w:csb1="00000000"/>
  </w:font>
  <w:font w:name="David">
    <w:panose1 w:val="020E0502060401010101"/>
    <w:charset w:val="00"/>
    <w:family w:val="auto"/>
    <w:pitch w:val="default"/>
    <w:sig w:usb0="00000801" w:usb1="00000000" w:usb2="00000000" w:usb3="00000000" w:csb0="00000020" w:csb1="00200000"/>
  </w:font>
  <w:font w:name="Euphemia">
    <w:panose1 w:val="020B0503040102020104"/>
    <w:charset w:val="00"/>
    <w:family w:val="auto"/>
    <w:pitch w:val="default"/>
    <w:sig w:usb0="8000006F" w:usb1="0000004A" w:usb2="00002000" w:usb3="00000000" w:csb0="00000001"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JasmineUPC">
    <w:panose1 w:val="02020603050405020304"/>
    <w:charset w:val="00"/>
    <w:family w:val="auto"/>
    <w:pitch w:val="default"/>
    <w:sig w:usb0="01000007" w:usb1="00000002" w:usb2="00000000" w:usb3="00000000" w:csb0="00010001" w:csb1="00000000"/>
  </w:font>
  <w:font w:name="Lao UI">
    <w:panose1 w:val="020B0502040204020203"/>
    <w:charset w:val="00"/>
    <w:family w:val="auto"/>
    <w:pitch w:val="default"/>
    <w:sig w:usb0="020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ucida Console">
    <w:panose1 w:val="020B0609040504020204"/>
    <w:charset w:val="00"/>
    <w:family w:val="auto"/>
    <w:pitch w:val="default"/>
    <w:sig w:usb0="8000028F" w:usb1="00001800" w:usb2="00000000" w:usb3="00000000" w:csb0="0000001F" w:csb1="D7D70000"/>
  </w:font>
  <w:font w:name="Marlett">
    <w:panose1 w:val="00000000000000000000"/>
    <w:charset w:val="00"/>
    <w:family w:val="auto"/>
    <w:pitch w:val="default"/>
    <w:sig w:usb0="00000000" w:usb1="00000000" w:usb2="00000000" w:usb3="00000000" w:csb0="80000000" w:csb1="00000000"/>
  </w:font>
  <w:font w:name="Microsoft New Tai Lue">
    <w:panose1 w:val="020B0502040204020203"/>
    <w:charset w:val="00"/>
    <w:family w:val="auto"/>
    <w:pitch w:val="default"/>
    <w:sig w:usb0="00000003" w:usb1="00000000" w:usb2="8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iriam Fixed">
    <w:panose1 w:val="020B0509050101010101"/>
    <w:charset w:val="00"/>
    <w:family w:val="auto"/>
    <w:pitch w:val="default"/>
    <w:sig w:usb0="00000801" w:usb1="00000000" w:usb2="00000000" w:usb3="00000000" w:csb0="00000020" w:csb1="00200000"/>
  </w:font>
  <w:font w:name="Mongolian Baiti">
    <w:panose1 w:val="03000500000000000000"/>
    <w:charset w:val="00"/>
    <w:family w:val="auto"/>
    <w:pitch w:val="default"/>
    <w:sig w:usb0="80000023" w:usb1="00000000" w:usb2="00020000" w:usb3="00000000" w:csb0="00000001" w:csb1="00000000"/>
  </w:font>
  <w:font w:name="Kalinga">
    <w:panose1 w:val="020B0502040204020203"/>
    <w:charset w:val="00"/>
    <w:family w:val="auto"/>
    <w:pitch w:val="default"/>
    <w:sig w:usb0="00080003"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Gungsuh">
    <w:panose1 w:val="02030600000101010101"/>
    <w:charset w:val="81"/>
    <w:family w:val="auto"/>
    <w:pitch w:val="default"/>
    <w:sig w:usb0="B00002AF" w:usb1="69D77CFB" w:usb2="00000030" w:usb3="00000000" w:csb0="4008009F" w:csb1="DFD70000"/>
  </w:font>
  <w:font w:name="Gautami">
    <w:panose1 w:val="020B0502040204020203"/>
    <w:charset w:val="00"/>
    <w:family w:val="auto"/>
    <w:pitch w:val="default"/>
    <w:sig w:usb0="00200003"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FreesiaUPC">
    <w:panose1 w:val="020B0604020202020204"/>
    <w:charset w:val="00"/>
    <w:family w:val="auto"/>
    <w:pitch w:val="default"/>
    <w:sig w:usb0="01000007" w:usb1="00000002" w:usb2="00000000" w:usb3="00000000" w:csb0="00010001"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illeniaUPC">
    <w:panose1 w:val="02020603050405020304"/>
    <w:charset w:val="00"/>
    <w:family w:val="auto"/>
    <w:pitch w:val="default"/>
    <w:sig w:usb0="81000027" w:usb1="00000002" w:usb2="00000000" w:usb3="00000000" w:csb0="00010001" w:csb1="00000000"/>
  </w:font>
  <w:font w:name="Corbel">
    <w:panose1 w:val="020B0503020204020204"/>
    <w:charset w:val="00"/>
    <w:family w:val="auto"/>
    <w:pitch w:val="default"/>
    <w:sig w:usb0="A00002EF" w:usb1="4000A4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75B8D"/>
    <w:multiLevelType w:val="multilevel"/>
    <w:tmpl w:val="4C075B8D"/>
    <w:lvl w:ilvl="0" w:tentative="0">
      <w:start w:val="1"/>
      <w:numFmt w:val="japaneseCounting"/>
      <w:lvlText w:val="%1、"/>
      <w:lvlJc w:val="left"/>
      <w:pPr>
        <w:ind w:left="1350" w:hanging="720"/>
      </w:pPr>
      <w:rPr>
        <w:rFonts w:hint="default"/>
        <w:u w:val="none" w:color="auto"/>
      </w:rPr>
    </w:lvl>
    <w:lvl w:ilvl="1" w:tentative="0">
      <w:start w:val="1"/>
      <w:numFmt w:val="lowerLetter"/>
      <w:lvlText w:val="%2)"/>
      <w:lvlJc w:val="left"/>
      <w:pPr>
        <w:ind w:left="1470" w:hanging="420"/>
      </w:pPr>
      <w:rPr>
        <w:rFonts w:hint="default"/>
        <w:u w:val="none" w:color="auto"/>
      </w:rPr>
    </w:lvl>
    <w:lvl w:ilvl="2" w:tentative="0">
      <w:start w:val="1"/>
      <w:numFmt w:val="lowerRoman"/>
      <w:lvlText w:val="%3."/>
      <w:lvlJc w:val="right"/>
      <w:pPr>
        <w:ind w:left="1890" w:hanging="420"/>
      </w:pPr>
      <w:rPr>
        <w:rFonts w:hint="default"/>
        <w:u w:val="none" w:color="auto"/>
      </w:rPr>
    </w:lvl>
    <w:lvl w:ilvl="3" w:tentative="0">
      <w:start w:val="1"/>
      <w:numFmt w:val="decimal"/>
      <w:lvlText w:val="%4."/>
      <w:lvlJc w:val="left"/>
      <w:pPr>
        <w:ind w:left="2310" w:hanging="420"/>
      </w:pPr>
      <w:rPr>
        <w:rFonts w:hint="default"/>
        <w:u w:val="none" w:color="auto"/>
      </w:rPr>
    </w:lvl>
    <w:lvl w:ilvl="4" w:tentative="0">
      <w:start w:val="1"/>
      <w:numFmt w:val="lowerLetter"/>
      <w:lvlText w:val="%5)"/>
      <w:lvlJc w:val="left"/>
      <w:pPr>
        <w:ind w:left="2730" w:hanging="420"/>
      </w:pPr>
      <w:rPr>
        <w:rFonts w:hint="default"/>
        <w:u w:val="none" w:color="auto"/>
      </w:rPr>
    </w:lvl>
    <w:lvl w:ilvl="5" w:tentative="0">
      <w:start w:val="1"/>
      <w:numFmt w:val="lowerRoman"/>
      <w:lvlText w:val="%6."/>
      <w:lvlJc w:val="right"/>
      <w:pPr>
        <w:ind w:left="3150" w:hanging="420"/>
      </w:pPr>
      <w:rPr>
        <w:rFonts w:hint="default"/>
        <w:u w:val="none" w:color="auto"/>
      </w:rPr>
    </w:lvl>
    <w:lvl w:ilvl="6" w:tentative="0">
      <w:start w:val="1"/>
      <w:numFmt w:val="decimal"/>
      <w:lvlText w:val="%7."/>
      <w:lvlJc w:val="left"/>
      <w:pPr>
        <w:ind w:left="3570" w:hanging="420"/>
      </w:pPr>
      <w:rPr>
        <w:rFonts w:hint="default"/>
        <w:u w:val="none" w:color="auto"/>
      </w:rPr>
    </w:lvl>
    <w:lvl w:ilvl="7" w:tentative="0">
      <w:start w:val="1"/>
      <w:numFmt w:val="lowerLetter"/>
      <w:lvlText w:val="%8)"/>
      <w:lvlJc w:val="left"/>
      <w:pPr>
        <w:ind w:left="3990" w:hanging="420"/>
      </w:pPr>
      <w:rPr>
        <w:rFonts w:hint="default"/>
        <w:u w:val="none" w:color="auto"/>
      </w:rPr>
    </w:lvl>
    <w:lvl w:ilvl="8" w:tentative="0">
      <w:start w:val="1"/>
      <w:numFmt w:val="lowerRoman"/>
      <w:lvlText w:val="%9."/>
      <w:lvlJc w:val="right"/>
      <w:pPr>
        <w:ind w:left="4410" w:hanging="42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5EE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2021-07-28T08:01:00Z</dcterms:created>
  <dc:creator>平平淡淡1383020753</dc:creator>
  <cp:lastModifiedBy>平平淡淡1383020753</cp:lastModifiedBy>
  <cp:lastPrinted>2021-07-29T02:11:27Z</cp:lastPrinted>
  <dcterms:modified xsi:type="dcterms:W3CDTF">2021-07-29T02:58:15Z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4A0C53CF47954D609891D5B48FB787B6</vt:lpwstr>
  </property>
</Properties>
</file>