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sectPr>
          <w:pgSz w:w="11906" w:h="16838"/>
          <w:pgMar w:top="1417" w:right="1588" w:bottom="1417" w:left="1588" w:header="851" w:footer="992" w:gutter="0"/>
          <w:cols w:space="425" w:num="1"/>
          <w:docGrid w:type="lines" w:linePitch="312" w:charSpace="0"/>
        </w:sectPr>
      </w:pPr>
      <w:r>
        <w:rPr>
          <w:rFonts w:hint="eastAsia" w:ascii="Times New Roman" w:hAnsi="Times New Roman" w:eastAsia="方正小标宋简体" w:cs="Times New Roman"/>
          <w:sz w:val="72"/>
          <w:szCs w:val="72"/>
        </w:rPr>
        <w:t>怀化市生态环境局麻阳分局</w:t>
      </w:r>
      <w:r>
        <w:rPr>
          <w:rFonts w:ascii="Times New Roman" w:hAnsi="Times New Roman" w:eastAsia="方正小标宋简体" w:cs="Times New Roman"/>
          <w:sz w:val="72"/>
          <w:szCs w:val="72"/>
        </w:rPr>
        <w:t>部门决算</w:t>
      </w: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怀化市生态环境局麻阳分局</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pPr>
      <w:r>
        <w:rPr>
          <w:rFonts w:hint="eastAsia" w:ascii="Times New Roman" w:hAnsi="Times New Roman" w:eastAsia="仿宋_GB2312" w:cs="Times New Roman"/>
          <w:color w:val="000000"/>
          <w:kern w:val="0"/>
          <w:sz w:val="32"/>
          <w:szCs w:val="32"/>
        </w:rPr>
        <w:t>九、国有资本经营预算收入支出决算情况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怀化市生态环境局麻阳分局</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w:t>
      </w:r>
      <w:r>
        <w:rPr>
          <w:rFonts w:hint="eastAsia" w:ascii="Times New Roman" w:hAnsi="Times New Roman" w:eastAsia="仿宋_GB2312" w:cs="Times New Roman"/>
          <w:bCs/>
          <w:kern w:val="0"/>
          <w:sz w:val="32"/>
          <w:szCs w:val="32"/>
        </w:rPr>
        <w:t>负责重点污染源在线监控系统现场监督管理。</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w:t>
      </w:r>
      <w:r>
        <w:rPr>
          <w:rFonts w:hint="eastAsia" w:ascii="Times New Roman" w:hAnsi="Times New Roman" w:eastAsia="仿宋_GB2312" w:cs="Times New Roman"/>
          <w:bCs/>
          <w:kern w:val="0"/>
          <w:sz w:val="32"/>
          <w:szCs w:val="32"/>
        </w:rPr>
        <w:t>负责受理和办理生态环境保护举报（信访），负责生态环境信访维稳事件的现场调查处置工作。</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（三）负责生态环境县级执法事项违法案件调查处理。</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（四）负责组织协调生态环境保护县级胯部门联合执法行动。</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（五）负责本辖区生态环境执法监测、环境质量监测、污染源监测和应急监测。</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（六）承担辖区范围内水、大气、土壤、固体废物、化学品、核与辐射、农业面源等环境污染调查、统计与分析研究。</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办公室、环境监测站、环保督察协调股、行政审批股、环境综合执法大队、污染防治股6个内设机构。</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怀化市生态环境局麻阳分局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rPr>
        <w:t>。</w:t>
      </w:r>
    </w:p>
    <w:p>
      <w:pPr>
        <w:jc w:val="left"/>
        <w:rPr>
          <w:rFonts w:ascii="Times New Roman" w:hAnsi="Times New Roman" w:eastAsia="仿宋_GB2312" w:cs="Times New Roman"/>
          <w:sz w:val="28"/>
          <w:szCs w:val="3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both"/>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5000" w:type="pct"/>
        <w:jc w:val="center"/>
        <w:tblLayout w:type="autofit"/>
        <w:tblCellMar>
          <w:top w:w="0" w:type="dxa"/>
          <w:left w:w="108" w:type="dxa"/>
          <w:bottom w:w="0" w:type="dxa"/>
          <w:right w:w="108" w:type="dxa"/>
        </w:tblCellMar>
      </w:tblPr>
      <w:tblGrid>
        <w:gridCol w:w="4733"/>
        <w:gridCol w:w="1576"/>
        <w:gridCol w:w="1235"/>
        <w:gridCol w:w="4628"/>
        <w:gridCol w:w="811"/>
        <w:gridCol w:w="1237"/>
      </w:tblGrid>
      <w:tr>
        <w:tblPrEx>
          <w:tblCellMar>
            <w:top w:w="0" w:type="dxa"/>
            <w:left w:w="108" w:type="dxa"/>
            <w:bottom w:w="0" w:type="dxa"/>
            <w:right w:w="108" w:type="dxa"/>
          </w:tblCellMar>
        </w:tblPrEx>
        <w:trPr>
          <w:cantSplit/>
          <w:trHeight w:val="397" w:hRule="exact"/>
          <w:jc w:val="center"/>
        </w:trPr>
        <w:tc>
          <w:tcPr>
            <w:tcW w:w="265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收入</w:t>
            </w:r>
          </w:p>
        </w:tc>
        <w:tc>
          <w:tcPr>
            <w:tcW w:w="234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支出</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项    目</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行次</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决算数</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行次</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决算数</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栏    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2"/>
                <w:szCs w:val="22"/>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2"/>
                <w:szCs w:val="22"/>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一、一般公共预算财政拨款收入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441.52</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一、一般公共服务支出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93.44</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二、政府性基金预算财政拨款收入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二、外交支出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三、国有资本经营预算财政拨款收入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八、社会保障和就业支出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96.83</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四、上级补助收入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九</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卫生健康</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23.05</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五、事业收入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十</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节能环保</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1668.24</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六、经营收入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十九</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rPr>
              <w:t>住房保障</w:t>
            </w:r>
            <w:r>
              <w:rPr>
                <w:rFonts w:ascii="Times New Roman" w:hAnsi="Times New Roman" w:eastAsia="仿宋_GB2312" w:cs="Times New Roman"/>
                <w:color w:val="000000"/>
                <w:kern w:val="0"/>
                <w:sz w:val="22"/>
                <w:szCs w:val="22"/>
              </w:rPr>
              <w:t>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27.69</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七、附属单位上缴收入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八、其他收入</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1467.73</w:t>
            </w: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szCs w:val="22"/>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本年收入合计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本年支出合计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使用非财政拨款结余（含专用结余）</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结余分配</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年初结转和结余</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p>
        </w:tc>
        <w:tc>
          <w:tcPr>
            <w:tcW w:w="1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                年末结转和结余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cantSplit/>
          <w:trHeight w:val="397" w:hRule="exact"/>
          <w:jc w:val="center"/>
        </w:trPr>
        <w:tc>
          <w:tcPr>
            <w:tcW w:w="1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总计</w:t>
            </w:r>
          </w:p>
        </w:tc>
        <w:tc>
          <w:tcPr>
            <w:tcW w:w="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1909.26</w:t>
            </w:r>
          </w:p>
        </w:tc>
        <w:tc>
          <w:tcPr>
            <w:tcW w:w="1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szCs w:val="22"/>
              </w:rPr>
            </w:pPr>
            <w:r>
              <w:rPr>
                <w:rFonts w:hint="eastAsia" w:ascii="Times New Roman" w:hAnsi="Times New Roman" w:eastAsia="仿宋_GB2312" w:cs="Times New Roman"/>
                <w:b/>
                <w:color w:val="000000"/>
                <w:sz w:val="22"/>
                <w:szCs w:val="22"/>
              </w:rPr>
              <w:t>1909.26</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308"/>
        <w:gridCol w:w="1878"/>
        <w:gridCol w:w="1640"/>
        <w:gridCol w:w="1640"/>
        <w:gridCol w:w="1640"/>
        <w:gridCol w:w="1640"/>
        <w:gridCol w:w="1640"/>
        <w:gridCol w:w="1897"/>
        <w:gridCol w:w="1383"/>
      </w:tblGrid>
      <w:tr>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cantSplit/>
          <w:trHeight w:val="334" w:hRule="exac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7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cantSplit/>
          <w:trHeight w:val="312" w:hRule="atLeast"/>
          <w:jc w:val="center"/>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78"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cantSplit/>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1909.26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441.52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1467.73</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2010399</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其他政府办公厅（室）及相关机构事务支出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93.44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94.33</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p>
            <w:pPr>
              <w:rPr>
                <w:rFonts w:ascii="Times New Roman" w:hAnsi="Times New Roman" w:eastAsia="仿宋_GB2312" w:cs="Times New Roman"/>
              </w:rPr>
            </w:pPr>
            <w:r>
              <w:rPr>
                <w:rFonts w:hint="eastAsia" w:ascii="Times New Roman" w:hAnsi="Times New Roman" w:eastAsia="仿宋_GB2312" w:cs="Times New Roman"/>
              </w:rPr>
              <w:t>2080505</w:t>
            </w:r>
          </w:p>
          <w:p>
            <w:pPr>
              <w:rPr>
                <w:rFonts w:ascii="Times New Roman" w:hAnsi="Times New Roman" w:eastAsia="仿宋_GB2312" w:cs="Times New Roman"/>
              </w:rPr>
            </w:pP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65.29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38.86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26.43</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280605</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机关事业单位职业年金缴费支出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31.54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31.54</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2101101</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23.05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20.65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2.4</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2110101</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538.37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354.32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184.05</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2110299</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其他环境监测与监察支出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545.03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545.03</w:t>
            </w:r>
            <w:r>
              <w:rPr>
                <w:rFonts w:ascii="Times New Roman" w:hAnsi="Times New Roman" w:eastAsia="仿宋_GB2312" w:cs="Times New Roman"/>
              </w:rPr>
              <w:t>　</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2110302</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水体</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577</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577</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2110402</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农村环境保护</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7.84</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7.84</w:t>
            </w:r>
          </w:p>
        </w:tc>
      </w:tr>
      <w:tr>
        <w:tblPrEx>
          <w:tblCellMar>
            <w:top w:w="0" w:type="dxa"/>
            <w:left w:w="0" w:type="dxa"/>
            <w:bottom w:w="0" w:type="dxa"/>
            <w:right w:w="0" w:type="dxa"/>
          </w:tblCellMar>
        </w:tblPrEx>
        <w:trPr>
          <w:cantSplit/>
          <w:trHeight w:val="450" w:hRule="atLeast"/>
          <w:jc w:val="center"/>
        </w:trPr>
        <w:tc>
          <w:tcPr>
            <w:tcW w:w="13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2210201</w:t>
            </w:r>
          </w:p>
        </w:tc>
        <w:tc>
          <w:tcPr>
            <w:tcW w:w="1878"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住房公积金</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27.69</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tbl>
      <w:tblPr>
        <w:tblStyle w:val="9"/>
        <w:tblpPr w:leftFromText="180" w:rightFromText="180" w:vertAnchor="text" w:horzAnchor="page" w:tblpX="1468" w:tblpY="318"/>
        <w:tblOverlap w:val="never"/>
        <w:tblW w:w="4996" w:type="pct"/>
        <w:tblInd w:w="0" w:type="dxa"/>
        <w:tblLayout w:type="fixed"/>
        <w:tblCellMar>
          <w:top w:w="0" w:type="dxa"/>
          <w:left w:w="108" w:type="dxa"/>
          <w:bottom w:w="0" w:type="dxa"/>
          <w:right w:w="108" w:type="dxa"/>
        </w:tblCellMar>
      </w:tblPr>
      <w:tblGrid>
        <w:gridCol w:w="2205"/>
        <w:gridCol w:w="4470"/>
        <w:gridCol w:w="1249"/>
        <w:gridCol w:w="1254"/>
        <w:gridCol w:w="1274"/>
        <w:gridCol w:w="1132"/>
        <w:gridCol w:w="1132"/>
        <w:gridCol w:w="1493"/>
      </w:tblGrid>
      <w:tr>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3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cantSplit/>
          <w:trHeight w:val="510" w:hRule="exact"/>
        </w:trPr>
        <w:tc>
          <w:tcPr>
            <w:tcW w:w="7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7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cantSplit/>
          <w:trHeight w:val="510" w:hRule="exact"/>
        </w:trPr>
        <w:tc>
          <w:tcPr>
            <w:tcW w:w="7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7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3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9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9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2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cantSplit/>
          <w:trHeight w:val="510" w:hRule="exact"/>
        </w:trPr>
        <w:tc>
          <w:tcPr>
            <w:tcW w:w="234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1909.26</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903.98</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1005.28</w:t>
            </w: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2010399</w:t>
            </w:r>
          </w:p>
        </w:tc>
        <w:tc>
          <w:tcPr>
            <w:tcW w:w="1572"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其他政府办公厅（室）及相关机构事务</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93.44</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0.66</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92.78</w:t>
            </w: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2080505</w:t>
            </w:r>
          </w:p>
        </w:tc>
        <w:tc>
          <w:tcPr>
            <w:tcW w:w="1572"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机关事业单位基本养老保险缴费支出</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65.29</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65.29</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2080506</w:t>
            </w:r>
          </w:p>
        </w:tc>
        <w:tc>
          <w:tcPr>
            <w:tcW w:w="1572"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机关事业单位职业年金缴费支出</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31.54</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31.54</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2101101</w:t>
            </w:r>
          </w:p>
        </w:tc>
        <w:tc>
          <w:tcPr>
            <w:tcW w:w="1572"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行政单位医疗</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23.05</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23.05</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2110101</w:t>
            </w:r>
          </w:p>
        </w:tc>
        <w:tc>
          <w:tcPr>
            <w:tcW w:w="1572"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行政运行</w:t>
            </w:r>
          </w:p>
        </w:tc>
        <w:tc>
          <w:tcPr>
            <w:tcW w:w="43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538.37</w:t>
            </w:r>
            <w:r>
              <w:rPr>
                <w:rFonts w:ascii="Times New Roman" w:hAnsi="Times New Roman" w:eastAsia="仿宋_GB2312" w:cs="Times New Roman"/>
                <w:kern w:val="0"/>
                <w:sz w:val="24"/>
                <w:szCs w:val="24"/>
              </w:rPr>
              <w:t>　</w:t>
            </w:r>
          </w:p>
        </w:tc>
        <w:tc>
          <w:tcPr>
            <w:tcW w:w="4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538.37</w:t>
            </w:r>
            <w:r>
              <w:rPr>
                <w:rFonts w:ascii="Times New Roman" w:hAnsi="Times New Roman" w:eastAsia="仿宋_GB2312" w:cs="Times New Roman"/>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2110299</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其他环境监测与监察支出</w:t>
            </w:r>
          </w:p>
        </w:tc>
        <w:tc>
          <w:tcPr>
            <w:tcW w:w="43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545.03</w:t>
            </w:r>
            <w:r>
              <w:rPr>
                <w:rFonts w:ascii="Times New Roman" w:hAnsi="Times New Roman" w:eastAsia="仿宋_GB2312" w:cs="Times New Roman"/>
                <w:kern w:val="0"/>
                <w:sz w:val="24"/>
                <w:szCs w:val="24"/>
              </w:rPr>
              <w:t>　</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217.37</w:t>
            </w:r>
            <w:r>
              <w:rPr>
                <w:rFonts w:ascii="Times New Roman" w:hAnsi="Times New Roman" w:eastAsia="仿宋_GB2312" w:cs="Times New Roman"/>
                <w:kern w:val="0"/>
                <w:sz w:val="24"/>
                <w:szCs w:val="24"/>
              </w:rPr>
              <w:t>　</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327.66</w:t>
            </w:r>
            <w:r>
              <w:rPr>
                <w:rFonts w:ascii="Times New Roman" w:hAnsi="Times New Roman" w:eastAsia="仿宋_GB2312" w:cs="Times New Roman"/>
                <w:kern w:val="0"/>
                <w:sz w:val="24"/>
                <w:szCs w:val="24"/>
              </w:rPr>
              <w:t>　</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2110302</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水体</w:t>
            </w:r>
          </w:p>
        </w:tc>
        <w:tc>
          <w:tcPr>
            <w:tcW w:w="43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577</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577</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2110402</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农村环境保护</w:t>
            </w:r>
          </w:p>
        </w:tc>
        <w:tc>
          <w:tcPr>
            <w:tcW w:w="43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7.84</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7.84</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cantSplit/>
          <w:trHeight w:val="510" w:hRule="exact"/>
        </w:trPr>
        <w:tc>
          <w:tcPr>
            <w:tcW w:w="7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2210201</w:t>
            </w:r>
          </w:p>
        </w:tc>
        <w:tc>
          <w:tcPr>
            <w:tcW w:w="1572" w:type="pct"/>
            <w:tcBorders>
              <w:top w:val="single" w:color="auto" w:sz="4" w:space="0"/>
              <w:left w:val="nil"/>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住房公积金</w:t>
            </w:r>
          </w:p>
        </w:tc>
        <w:tc>
          <w:tcPr>
            <w:tcW w:w="43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27.69</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27.69</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p>
      <w:pPr>
        <w:widowControl/>
        <w:spacing w:before="120"/>
        <w:jc w:val="left"/>
        <w:rPr>
          <w:rFonts w:hint="eastAsia" w:ascii="Times New Roman" w:hAnsi="Times New Roman" w:eastAsia="黑体" w:cs="Times New Roman"/>
          <w:color w:val="000000"/>
          <w:kern w:val="0"/>
          <w:sz w:val="36"/>
          <w:szCs w:val="36"/>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86"/>
        <w:gridCol w:w="2636"/>
        <w:gridCol w:w="616"/>
        <w:gridCol w:w="986"/>
        <w:gridCol w:w="1806"/>
        <w:gridCol w:w="1478"/>
        <w:gridCol w:w="1580"/>
      </w:tblGrid>
      <w:tr>
        <w:tblPrEx>
          <w:tblCellMar>
            <w:top w:w="0" w:type="dxa"/>
            <w:left w:w="108" w:type="dxa"/>
            <w:bottom w:w="0" w:type="dxa"/>
            <w:right w:w="108" w:type="dxa"/>
          </w:tblCellMar>
        </w:tblPrEx>
        <w:trPr>
          <w:cantSplit/>
          <w:trHeight w:val="397" w:hRule="exac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38.86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38.86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rPr>
              <w:t>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354.32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354.32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cantSplit/>
          <w:trHeight w:val="397" w:hRule="exac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441.52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Lines="50"/>
        <w:jc w:val="both"/>
        <w:textAlignment w:val="center"/>
        <w:rPr>
          <w:rFonts w:ascii="Times New Roman" w:hAnsi="Times New Roman" w:eastAsia="黑体" w:cs="Times New Roman"/>
          <w:color w:val="000000"/>
          <w:kern w:val="0"/>
          <w:sz w:val="36"/>
          <w:szCs w:val="36"/>
        </w:rPr>
      </w:pPr>
      <w:bookmarkStart w:id="3" w:name="_GoBack"/>
      <w:bookmarkEnd w:id="3"/>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单位：万元</w:t>
      </w:r>
      <w:r>
        <w:rPr>
          <w:rFonts w:ascii="Times New Roman" w:hAnsi="Times New Roman" w:eastAsia="仿宋_GB2312" w:cs="Times New Roman"/>
          <w:color w:val="000000"/>
          <w:kern w:val="0"/>
          <w:szCs w:val="21"/>
        </w:rPr>
        <w:t xml:space="preserve">                </w:t>
      </w:r>
    </w:p>
    <w:tbl>
      <w:tblPr>
        <w:tblStyle w:val="9"/>
        <w:tblW w:w="14219" w:type="dxa"/>
        <w:jc w:val="center"/>
        <w:tblLayout w:type="autofit"/>
        <w:tblCellMar>
          <w:top w:w="0" w:type="dxa"/>
          <w:left w:w="108" w:type="dxa"/>
          <w:bottom w:w="0" w:type="dxa"/>
          <w:right w:w="108" w:type="dxa"/>
        </w:tblCellMar>
      </w:tblPr>
      <w:tblGrid>
        <w:gridCol w:w="1200"/>
        <w:gridCol w:w="3870"/>
        <w:gridCol w:w="2657"/>
        <w:gridCol w:w="3492"/>
        <w:gridCol w:w="3000"/>
      </w:tblGrid>
      <w:tr>
        <w:tblPrEx>
          <w:tblCellMar>
            <w:top w:w="0" w:type="dxa"/>
            <w:left w:w="108" w:type="dxa"/>
            <w:bottom w:w="0" w:type="dxa"/>
            <w:right w:w="108" w:type="dxa"/>
          </w:tblCellMar>
        </w:tblPrEx>
        <w:trPr>
          <w:trHeight w:val="545" w:hRule="atLeast"/>
          <w:jc w:val="center"/>
        </w:trPr>
        <w:tc>
          <w:tcPr>
            <w:tcW w:w="507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4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5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441.52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441.52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26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38.86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38.86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2101101</w:t>
            </w:r>
          </w:p>
        </w:tc>
        <w:tc>
          <w:tcPr>
            <w:tcW w:w="38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26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20.65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20.65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26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354.32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354.32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26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27.69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27.69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7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5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spacing w:after="120"/>
        <w:jc w:val="center"/>
        <w:textAlignment w:val="center"/>
        <w:rPr>
          <w:rFonts w:hint="eastAsia" w:ascii="Times New Roman" w:hAnsi="Times New Roman" w:eastAsia="黑体" w:cs="Times New Roman"/>
          <w:color w:val="000000"/>
          <w:kern w:val="0"/>
          <w:sz w:val="36"/>
          <w:szCs w:val="36"/>
        </w:rPr>
      </w:pPr>
      <w:bookmarkStart w:id="2" w:name="RANGE!A1:I34"/>
    </w:p>
    <w:p>
      <w:pPr>
        <w:widowControl/>
        <w:spacing w:after="120"/>
        <w:jc w:val="center"/>
        <w:textAlignment w:val="center"/>
        <w:rPr>
          <w:rFonts w:hint="eastAsia" w:ascii="Times New Roman" w:hAnsi="Times New Roman" w:eastAsia="黑体" w:cs="Times New Roman"/>
          <w:color w:val="000000"/>
          <w:kern w:val="0"/>
          <w:sz w:val="36"/>
          <w:szCs w:val="36"/>
        </w:rPr>
      </w:pPr>
    </w:p>
    <w:p>
      <w:pPr>
        <w:widowControl/>
        <w:spacing w:after="120"/>
        <w:jc w:val="center"/>
        <w:textAlignment w:val="center"/>
        <w:rPr>
          <w:rFonts w:hint="eastAsia" w:ascii="Times New Roman" w:hAnsi="Times New Roman" w:eastAsia="黑体" w:cs="Times New Roman"/>
          <w:color w:val="000000"/>
          <w:kern w:val="0"/>
          <w:sz w:val="36"/>
          <w:szCs w:val="36"/>
        </w:rPr>
      </w:pPr>
    </w:p>
    <w:p>
      <w:pPr>
        <w:widowControl/>
        <w:spacing w:after="12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部门：怀化市生态环境局麻阳分局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5000" w:type="pct"/>
        <w:jc w:val="center"/>
        <w:tblLayout w:type="fixed"/>
        <w:tblCellMar>
          <w:top w:w="0" w:type="dxa"/>
          <w:left w:w="108" w:type="dxa"/>
          <w:bottom w:w="0" w:type="dxa"/>
          <w:right w:w="108" w:type="dxa"/>
        </w:tblCellMar>
      </w:tblPr>
      <w:tblGrid>
        <w:gridCol w:w="955"/>
        <w:gridCol w:w="2870"/>
        <w:gridCol w:w="1056"/>
        <w:gridCol w:w="984"/>
        <w:gridCol w:w="1907"/>
        <w:gridCol w:w="936"/>
        <w:gridCol w:w="1033"/>
        <w:gridCol w:w="3543"/>
        <w:gridCol w:w="936"/>
      </w:tblGrid>
      <w:tr>
        <w:tblPrEx>
          <w:tblCellMar>
            <w:top w:w="0" w:type="dxa"/>
            <w:left w:w="108" w:type="dxa"/>
            <w:bottom w:w="0" w:type="dxa"/>
            <w:right w:w="108" w:type="dxa"/>
          </w:tblCellMar>
        </w:tblPrEx>
        <w:trPr>
          <w:cantSplit/>
          <w:trHeight w:val="2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1009"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71"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67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29"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363"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245"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329"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373.71</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67.82</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177.78</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28.4</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2.83</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65.47</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0.27</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38.86</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20.65</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9.99</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27.69</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12.03</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3.99</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2.95</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13.62</w:t>
            </w:r>
          </w:p>
        </w:tc>
        <w:tc>
          <w:tcPr>
            <w:tcW w:w="3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cantSplit/>
          <w:trHeight w:val="20" w:hRule="atLeast"/>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37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373.71</w:t>
            </w:r>
          </w:p>
        </w:tc>
        <w:tc>
          <w:tcPr>
            <w:tcW w:w="2954"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67.82</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ind w:right="400"/>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spacing w:afterLines="50"/>
        <w:jc w:val="center"/>
        <w:textAlignment w:val="center"/>
        <w:rPr>
          <w:rFonts w:hint="eastAsia" w:ascii="Times New Roman" w:hAnsi="Times New Roman" w:eastAsia="黑体" w:cs="Times New Roman"/>
          <w:color w:val="000000"/>
          <w:kern w:val="0"/>
          <w:sz w:val="36"/>
          <w:szCs w:val="36"/>
        </w:rPr>
      </w:pPr>
    </w:p>
    <w:p>
      <w:pPr>
        <w:widowControl/>
        <w:spacing w:afterLines="50"/>
        <w:jc w:val="center"/>
        <w:textAlignment w:val="center"/>
        <w:rPr>
          <w:rFonts w:hint="eastAsia"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cantSplit/>
          <w:trHeight w:val="312"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cantSplit/>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cantSplit/>
          <w:trHeight w:val="23"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cantSplit/>
          <w:trHeight w:val="23"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spacing w:afterLines="50"/>
        <w:jc w:val="both"/>
        <w:textAlignment w:val="center"/>
        <w:rPr>
          <w:rFonts w:hint="eastAsia"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670"/>
        </w:tabs>
        <w:ind w:right="400"/>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怀化市生态环境局麻阳分局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95.16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5.25</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23.13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1467.74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76.87</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903.98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47.35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1005.28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52.65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7.82</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23.13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32.03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7.82</w:t>
      </w:r>
      <w:r>
        <w:rPr>
          <w:rFonts w:ascii="Times New Roman" w:hAnsi="Times New Roman" w:eastAsia="仿宋_GB2312" w:cs="Times New Roman"/>
          <w:sz w:val="32"/>
          <w:szCs w:val="32"/>
        </w:rPr>
        <w:t>%，主要是因为</w:t>
      </w:r>
      <w:r>
        <w:rPr>
          <w:rFonts w:hint="eastAsia" w:ascii="仿宋_GB2312" w:eastAsia="仿宋_GB2312" w:cs="仿宋_GB2312"/>
          <w:sz w:val="32"/>
          <w:szCs w:val="32"/>
        </w:rPr>
        <w:t>人员增加，工资调整及社保公积金基数提高。</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支出354.32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80.25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支出27.69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6.27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446.37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98.91</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环境保护管理事务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359.17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354.32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98.65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厉行节约，公用经费压减开支。</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38.86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3、卫生健康支出（类）行政事业单位医疗（款）行政单位医疗（项）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4、住房保障支出（类）住房改革支出（款）住房公积金（项）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27.69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27.69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441.52</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373.71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84.64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绩效工资、机关事业单位基本养老保险缴费、职工基本医疗保险缴费、住房公积金、其他工资福利支出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67.82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15.36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水电费、差旅费、公务接待费、劳务费、工会经费、公务用车运行维护费、其他交通费用、其他商品和服务支出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29.12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厉行节约，不超预算支出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车辆使用频率增加，维修保养成本提高以及</w:t>
      </w:r>
      <w:r>
        <w:rPr>
          <w:rFonts w:hint="eastAsia" w:ascii="仿宋_GB2312" w:hAnsi="仿宋" w:eastAsia="仿宋_GB2312" w:cs="仿宋_GB2312"/>
          <w:sz w:val="32"/>
          <w:szCs w:val="32"/>
        </w:rPr>
        <w:t>单位业务交流活动增加，接待任务增加</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车辆加油及公车维修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34.68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预算数。2024年度共接待来访团组</w:t>
      </w:r>
      <w:r>
        <w:rPr>
          <w:rFonts w:hint="eastAsia" w:ascii="Times New Roman" w:hAnsi="Times New Roman" w:eastAsia="仿宋_GB2312" w:cs="Times New Roman"/>
          <w:sz w:val="32"/>
          <w:szCs w:val="32"/>
        </w:rPr>
        <w:t>81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430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单位业务交流</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rPr>
        <w:t>本单位无政府性基金收支。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本单位无国有资本经营收支。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280.13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66.55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rPr>
        <w:t>31.16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人员增加，办公用品及水电费支出增加；执法、监测采样任务重，差旅费增加。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本年度未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rPr>
        <w:t>无此项开支。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290.56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8.29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282.27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辆、执法执勤用车XX辆、特种专业技术用车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1914.1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1909.26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顺利完成上级部门和本级政府安排的任务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厉行节约的前提下保障单位整体运行</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经费紧张，预算内社保资金因人员新进、基数调整等原因不足以及时缴存；三是财务部门和业务部门相分离，业务部门参与程度不高。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多于财政部门沟通，希望财政部门能对社保资金及时清算，据实安排</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探索“业务财务相结合”工作模式，提高业务部门参与度</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首先进一步加强预算资金管理，加大对预算编制与执行的监督管理力度，提高预算资金使用效率；其次指标设立要更加科学、合理、可衡量；最后要注重绩效评价结果的运用，对照绩效自评工作中发现的问题，进一步完善预算管理机构，增强支出责任，规范资金使用，强化监督检查，提高资金使用效益。</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财政拨款收入：指省级财政部门当年拨付的资金。</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二、其他收入：主要是县级财政部门当年拨付的资金。</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四、年末结转和结余：指本年度或以前年度预算安排、因客观条件发生变化无法按原计划实施，需延迟到以后年度按有关规定继续使用的资金。</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五、基本支出：指为保障机构正常运转、完成日常工作任务而发生的各项支出，包括人员支出和公用支出。 </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六、“三公”经费：指通过财政拨款资金安排的因公出国（境）费、公务用车购置及运行费和公务接待费支出。 </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机关运行经费：指为保障行政单位（含参照公务员法管理的事业单位）用于购买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八、项目支出：指在基本支出之外为完成特定行政任务和事业发展目标所发生的支出。</w:t>
      </w:r>
    </w:p>
    <w:p>
      <w:pPr>
        <w:pStyle w:val="13"/>
        <w:spacing w:line="360" w:lineRule="auto"/>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rPr>
          <w:rFonts w:ascii="Times New Roman" w:hAnsi="Times New Roman" w:eastAsia="仿宋_GB2312" w:cs="Times New Roman"/>
          <w:b/>
          <w:bCs/>
          <w:sz w:val="32"/>
          <w:szCs w:val="32"/>
        </w:rPr>
      </w:pPr>
    </w:p>
    <w:p>
      <w:pPr>
        <w:pStyle w:val="13"/>
        <w:spacing w:line="60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一、部门（单位）基本情况。</w:t>
      </w:r>
    </w:p>
    <w:p>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（1）</w:t>
      </w:r>
      <w:r>
        <w:rPr>
          <w:rFonts w:ascii="Times New Roman Regular" w:hAnsi="Times New Roman Regular" w:eastAsia="仿宋_GB2312" w:cs="Times New Roman Regular"/>
          <w:kern w:val="2"/>
          <w:sz w:val="32"/>
          <w:szCs w:val="32"/>
        </w:rPr>
        <w:t>机构设置情况</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怀化市生态环境局麻阳分局共有四个内设机构及两个非独立核算的二级预算单位，分别是办公室、污染防治股、行政审批股、环保督查协调股和环境监察大队、环境监测站。</w:t>
      </w:r>
    </w:p>
    <w:p>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（2）</w:t>
      </w:r>
      <w:r>
        <w:rPr>
          <w:rFonts w:ascii="Times New Roman Regular" w:hAnsi="Times New Roman Regular" w:eastAsia="仿宋_GB2312" w:cs="Times New Roman Regular"/>
          <w:kern w:val="2"/>
          <w:sz w:val="32"/>
          <w:szCs w:val="32"/>
        </w:rPr>
        <w:t>人员编制情况</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怀化市生态环境局麻阳分局核定总编制数为40人，其中：行政5人，事业35人。截至2024年12月31日，实有在职人数34人，其中：行政5人，事业29人。</w:t>
      </w:r>
    </w:p>
    <w:p>
      <w:pPr>
        <w:pStyle w:val="8"/>
        <w:widowControl/>
        <w:shd w:val="clear" w:color="auto" w:fill="FFFFFF"/>
        <w:snapToGrid w:val="0"/>
        <w:spacing w:beforeAutospacing="0" w:afterAutospacing="0" w:line="520" w:lineRule="exact"/>
        <w:ind w:firstLine="640" w:firstLineChars="200"/>
        <w:rPr>
          <w:rFonts w:ascii="Times New Roman Regular" w:hAnsi="Times New Roman Regular" w:eastAsia="仿宋_GB2312" w:cs="Times New Roman Regular"/>
          <w:kern w:val="2"/>
          <w:sz w:val="32"/>
          <w:szCs w:val="32"/>
        </w:rPr>
      </w:pPr>
      <w:r>
        <w:rPr>
          <w:rFonts w:hint="eastAsia" w:ascii="Times New Roman Regular" w:hAnsi="Times New Roman Regular" w:eastAsia="仿宋_GB2312" w:cs="Times New Roman Regular"/>
          <w:kern w:val="2"/>
          <w:sz w:val="32"/>
          <w:szCs w:val="32"/>
        </w:rPr>
        <w:t>（3）</w:t>
      </w:r>
      <w:r>
        <w:rPr>
          <w:rFonts w:ascii="Times New Roman Regular" w:hAnsi="Times New Roman Regular" w:eastAsia="仿宋_GB2312" w:cs="Times New Roman Regular"/>
          <w:kern w:val="2"/>
          <w:sz w:val="32"/>
          <w:szCs w:val="32"/>
        </w:rPr>
        <w:t>主要职能职责</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1.负责重点污染源在线监控系统现场监督管理。</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2.负责受理和办理生态环境保护举报（信访），负责生态环境信访维稳事件的现场调查处置工作。</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3.负责生态环境县级执法事项违法案件调查处理。</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4.负责组织协调生态环境保护县级胯部门联合执法行动。</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5.负责本辖区生态环境执法监测、环境质量监测、污染源监测和应急监测。</w:t>
      </w:r>
    </w:p>
    <w:p>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6.承担辖区范围内水、大气、土壤、固体废物、化学品、核与辐射、农业面源等环境污染调查、统计与分析研究。</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7.承办县人民政府交办的其他事项等。</w:t>
      </w:r>
    </w:p>
    <w:p>
      <w:pPr>
        <w:numPr>
          <w:ilvl w:val="0"/>
          <w:numId w:val="1"/>
        </w:num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部门（单位）整体支出规模、使用方向和主要内容、涉及范围等。</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怀化市生态环境局麻阳分局2024年整体支出资金1909.26万元，资金主要用于污染治理方面、环境监测方面、执法监察能力建设以及保障部门自身正常运转。</w:t>
      </w:r>
    </w:p>
    <w:p>
      <w:p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二、一般公共预算支出情况</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（一）基本支出</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本年度基本支出903.98万元，其中：人员经费623.85万元，占比69%，公用经费280.13万元，占比31%。“三公经费”8.99万元，其中：公务接待费支出4万元，公务用车运行维护费4.99万元，全年无因公出国(境)费用。</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（二）项目支出</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本年度项目支出1005.28万元。</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、资产管理情况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固定资产实行“统一领导，责任到人”的管理原则，规定固定资产的管理、使用，注重对固定资产的全过程进行管理，对固定资产的增减变动等及时入账，确保账面上能真实完整的反映单位的固定资产情况。</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w:t>
      </w:r>
      <w:r>
        <w:rPr>
          <w:rFonts w:ascii="Times New Roman" w:hAnsi="Times New Roman" w:eastAsia="仿宋_GB2312" w:cs="Times New Roman"/>
          <w:color w:val="000000"/>
          <w:kern w:val="0"/>
          <w:sz w:val="32"/>
          <w:szCs w:val="32"/>
        </w:rPr>
        <w:t>政府性基金预算支出情况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numPr>
          <w:ilvl w:val="0"/>
          <w:numId w:val="2"/>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国有资本经营预算支出情况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numPr>
          <w:ilvl w:val="0"/>
          <w:numId w:val="2"/>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社会保险基金预算支出情况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w:t>
      </w:r>
      <w:r>
        <w:rPr>
          <w:rFonts w:ascii="Times New Roman" w:hAnsi="Times New Roman" w:eastAsia="仿宋_GB2312" w:cs="Times New Roman"/>
          <w:color w:val="000000"/>
          <w:kern w:val="0"/>
          <w:sz w:val="32"/>
          <w:szCs w:val="32"/>
        </w:rPr>
        <w:t>、部门整体支出绩效情况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生态环境局麻阳分局2024年绩效自评得分100分，评价等级优秀。2024年我局资金运行维护决策正确，资金管理规范，政策执行有力，有效发挥了财政资金的使用效率。人员经费支出、公共支出严格执行政府的各项制度；在保证各项任务顺利完成的同时，严格落实厉行节约的原则；三公经费的使用严格控制在预算申报的范围内。</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w:t>
      </w:r>
      <w:r>
        <w:rPr>
          <w:rFonts w:ascii="Times New Roman" w:hAnsi="Times New Roman" w:eastAsia="仿宋_GB2312" w:cs="Times New Roman"/>
          <w:color w:val="000000"/>
          <w:kern w:val="0"/>
          <w:sz w:val="32"/>
          <w:szCs w:val="32"/>
        </w:rPr>
        <w:t>、存在的问题及原因分析</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snapToGrid w:val="0"/>
        <w:spacing w:line="52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w:t>
      </w:r>
      <w:r>
        <w:rPr>
          <w:rFonts w:ascii="Times New Roman" w:hAnsi="Times New Roman" w:eastAsia="仿宋_GB2312" w:cs="Times New Roman"/>
          <w:color w:val="000000"/>
          <w:kern w:val="0"/>
          <w:sz w:val="32"/>
          <w:szCs w:val="32"/>
        </w:rPr>
        <w:t>下一步改进措施</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numPr>
          <w:ilvl w:val="0"/>
          <w:numId w:val="3"/>
        </w:num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绩效自评结果拟应用和公开情况</w:t>
      </w:r>
    </w:p>
    <w:p>
      <w:pPr>
        <w:ind w:firstLine="640" w:firstLineChars="200"/>
        <w:contextualSpacing/>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市财政统一挂网公开。</w:t>
      </w:r>
    </w:p>
    <w:p>
      <w:pPr>
        <w:snapToGrid w:val="0"/>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、其他需要说明的情况</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整体支出报告需要以下附件：</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1.部门整体支出绩效评价基础数据表</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2.部门整体支出绩效自评表</w:t>
      </w:r>
    </w:p>
    <w:p>
      <w:pPr>
        <w:pStyle w:val="13"/>
        <w:spacing w:line="600" w:lineRule="exact"/>
        <w:ind w:firstLine="640" w:firstLineChars="200"/>
        <w:rPr>
          <w:rFonts w:ascii="Times New Roman" w:hAnsi="Times New Roman" w:eastAsia="仿宋_GB2312" w:cs="Times New Roman"/>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楷体_GB2312">
    <w:altName w:val="方正楷体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CF97"/>
    <w:multiLevelType w:val="singleLevel"/>
    <w:tmpl w:val="DFBECF97"/>
    <w:lvl w:ilvl="0" w:tentative="0">
      <w:start w:val="10"/>
      <w:numFmt w:val="chineseCounting"/>
      <w:suff w:val="nothing"/>
      <w:lvlText w:val="%1、"/>
      <w:lvlJc w:val="left"/>
      <w:rPr>
        <w:rFonts w:hint="eastAsia"/>
      </w:rPr>
    </w:lvl>
  </w:abstractNum>
  <w:abstractNum w:abstractNumId="1">
    <w:nsid w:val="E9FE4A3E"/>
    <w:multiLevelType w:val="singleLevel"/>
    <w:tmpl w:val="E9FE4A3E"/>
    <w:lvl w:ilvl="0" w:tentative="0">
      <w:start w:val="5"/>
      <w:numFmt w:val="chineseCounting"/>
      <w:suff w:val="nothing"/>
      <w:lvlText w:val="%1、"/>
      <w:lvlJc w:val="left"/>
      <w:rPr>
        <w:rFonts w:hint="eastAsia"/>
      </w:rPr>
    </w:lvl>
  </w:abstractNum>
  <w:abstractNum w:abstractNumId="2">
    <w:nsid w:val="FF7CB6D1"/>
    <w:multiLevelType w:val="singleLevel"/>
    <w:tmpl w:val="FF7CB6D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37CBD"/>
    <w:rsid w:val="00040CBC"/>
    <w:rsid w:val="000415B7"/>
    <w:rsid w:val="00041E3F"/>
    <w:rsid w:val="00055DAA"/>
    <w:rsid w:val="000608A2"/>
    <w:rsid w:val="00061F7B"/>
    <w:rsid w:val="000658A3"/>
    <w:rsid w:val="00074155"/>
    <w:rsid w:val="00080785"/>
    <w:rsid w:val="0008531B"/>
    <w:rsid w:val="00090855"/>
    <w:rsid w:val="000A3961"/>
    <w:rsid w:val="000A3F69"/>
    <w:rsid w:val="000B20F1"/>
    <w:rsid w:val="000C5742"/>
    <w:rsid w:val="000F6E95"/>
    <w:rsid w:val="00103957"/>
    <w:rsid w:val="0013287F"/>
    <w:rsid w:val="00152C6D"/>
    <w:rsid w:val="00162D39"/>
    <w:rsid w:val="001678BD"/>
    <w:rsid w:val="00182373"/>
    <w:rsid w:val="001A67DB"/>
    <w:rsid w:val="001B67D1"/>
    <w:rsid w:val="001C2D2B"/>
    <w:rsid w:val="001C3C29"/>
    <w:rsid w:val="001D1F65"/>
    <w:rsid w:val="001D2B79"/>
    <w:rsid w:val="001D51E5"/>
    <w:rsid w:val="001D5732"/>
    <w:rsid w:val="001E080D"/>
    <w:rsid w:val="001E22E8"/>
    <w:rsid w:val="001E53D0"/>
    <w:rsid w:val="001F0C3B"/>
    <w:rsid w:val="00202C82"/>
    <w:rsid w:val="002048DF"/>
    <w:rsid w:val="00214427"/>
    <w:rsid w:val="00220689"/>
    <w:rsid w:val="00221AFD"/>
    <w:rsid w:val="00226CB7"/>
    <w:rsid w:val="002317D3"/>
    <w:rsid w:val="00252450"/>
    <w:rsid w:val="00257294"/>
    <w:rsid w:val="00264552"/>
    <w:rsid w:val="00264EF9"/>
    <w:rsid w:val="00265724"/>
    <w:rsid w:val="00270AF0"/>
    <w:rsid w:val="0027426B"/>
    <w:rsid w:val="00296D60"/>
    <w:rsid w:val="002D6316"/>
    <w:rsid w:val="002E0A30"/>
    <w:rsid w:val="0030077D"/>
    <w:rsid w:val="003130C4"/>
    <w:rsid w:val="00316C4B"/>
    <w:rsid w:val="0032192B"/>
    <w:rsid w:val="0033283E"/>
    <w:rsid w:val="00344C5C"/>
    <w:rsid w:val="003461A2"/>
    <w:rsid w:val="003479BD"/>
    <w:rsid w:val="0035598D"/>
    <w:rsid w:val="0037197D"/>
    <w:rsid w:val="003768D5"/>
    <w:rsid w:val="003903C2"/>
    <w:rsid w:val="003926B9"/>
    <w:rsid w:val="003A547C"/>
    <w:rsid w:val="003C2E17"/>
    <w:rsid w:val="003C47E6"/>
    <w:rsid w:val="003C4FC2"/>
    <w:rsid w:val="003C68BA"/>
    <w:rsid w:val="003D3D82"/>
    <w:rsid w:val="00400D18"/>
    <w:rsid w:val="00401F9A"/>
    <w:rsid w:val="00416E61"/>
    <w:rsid w:val="0042790C"/>
    <w:rsid w:val="00430BBC"/>
    <w:rsid w:val="004506F9"/>
    <w:rsid w:val="00462315"/>
    <w:rsid w:val="00471724"/>
    <w:rsid w:val="004717A2"/>
    <w:rsid w:val="00473DF3"/>
    <w:rsid w:val="00487911"/>
    <w:rsid w:val="00490F48"/>
    <w:rsid w:val="00491741"/>
    <w:rsid w:val="004B097F"/>
    <w:rsid w:val="004B0CEE"/>
    <w:rsid w:val="004C2A0A"/>
    <w:rsid w:val="004C7450"/>
    <w:rsid w:val="004F5EFB"/>
    <w:rsid w:val="00500E5F"/>
    <w:rsid w:val="005122EF"/>
    <w:rsid w:val="0051441A"/>
    <w:rsid w:val="00517C33"/>
    <w:rsid w:val="00517D5F"/>
    <w:rsid w:val="00523644"/>
    <w:rsid w:val="0052524A"/>
    <w:rsid w:val="00532A88"/>
    <w:rsid w:val="0054034D"/>
    <w:rsid w:val="0054069E"/>
    <w:rsid w:val="00544866"/>
    <w:rsid w:val="00552A3D"/>
    <w:rsid w:val="00564D30"/>
    <w:rsid w:val="00574CC8"/>
    <w:rsid w:val="005767CC"/>
    <w:rsid w:val="00590D9F"/>
    <w:rsid w:val="00595D26"/>
    <w:rsid w:val="005A74E6"/>
    <w:rsid w:val="005B404E"/>
    <w:rsid w:val="005D4D55"/>
    <w:rsid w:val="005E0E6C"/>
    <w:rsid w:val="005E2CFB"/>
    <w:rsid w:val="005F2103"/>
    <w:rsid w:val="005F2F3B"/>
    <w:rsid w:val="005F3D1C"/>
    <w:rsid w:val="005F4189"/>
    <w:rsid w:val="00616BE8"/>
    <w:rsid w:val="006171EE"/>
    <w:rsid w:val="006176EE"/>
    <w:rsid w:val="0062378F"/>
    <w:rsid w:val="00637823"/>
    <w:rsid w:val="00641842"/>
    <w:rsid w:val="00651EEC"/>
    <w:rsid w:val="00686673"/>
    <w:rsid w:val="00691E8C"/>
    <w:rsid w:val="00695C13"/>
    <w:rsid w:val="006A22C4"/>
    <w:rsid w:val="006A351B"/>
    <w:rsid w:val="006B0422"/>
    <w:rsid w:val="006B1067"/>
    <w:rsid w:val="006C1B53"/>
    <w:rsid w:val="006D7730"/>
    <w:rsid w:val="006E5284"/>
    <w:rsid w:val="006F09E0"/>
    <w:rsid w:val="006F3EB5"/>
    <w:rsid w:val="006F56C8"/>
    <w:rsid w:val="00702E34"/>
    <w:rsid w:val="00704395"/>
    <w:rsid w:val="00710FE7"/>
    <w:rsid w:val="00717621"/>
    <w:rsid w:val="00720FF1"/>
    <w:rsid w:val="00727A53"/>
    <w:rsid w:val="00740F92"/>
    <w:rsid w:val="007437E0"/>
    <w:rsid w:val="007502DE"/>
    <w:rsid w:val="00755308"/>
    <w:rsid w:val="007735AE"/>
    <w:rsid w:val="00787B42"/>
    <w:rsid w:val="007963CE"/>
    <w:rsid w:val="007A5883"/>
    <w:rsid w:val="007C4539"/>
    <w:rsid w:val="007F3657"/>
    <w:rsid w:val="00810F0C"/>
    <w:rsid w:val="00811AA2"/>
    <w:rsid w:val="00812ED5"/>
    <w:rsid w:val="00820CDC"/>
    <w:rsid w:val="008277D9"/>
    <w:rsid w:val="008371A3"/>
    <w:rsid w:val="0084478C"/>
    <w:rsid w:val="00865962"/>
    <w:rsid w:val="0086638C"/>
    <w:rsid w:val="008764FA"/>
    <w:rsid w:val="00894E9B"/>
    <w:rsid w:val="008A1079"/>
    <w:rsid w:val="008A3E8D"/>
    <w:rsid w:val="008A5055"/>
    <w:rsid w:val="008B79B1"/>
    <w:rsid w:val="008C7CA8"/>
    <w:rsid w:val="008D0F04"/>
    <w:rsid w:val="008D17F4"/>
    <w:rsid w:val="009237C4"/>
    <w:rsid w:val="00944C48"/>
    <w:rsid w:val="00950252"/>
    <w:rsid w:val="00967F5D"/>
    <w:rsid w:val="0097385E"/>
    <w:rsid w:val="009A0854"/>
    <w:rsid w:val="009A0F95"/>
    <w:rsid w:val="009B3ADF"/>
    <w:rsid w:val="009C31C5"/>
    <w:rsid w:val="009C3B52"/>
    <w:rsid w:val="009C420F"/>
    <w:rsid w:val="009D524C"/>
    <w:rsid w:val="009E2E00"/>
    <w:rsid w:val="009E6817"/>
    <w:rsid w:val="009E6E9A"/>
    <w:rsid w:val="00A01D2B"/>
    <w:rsid w:val="00A113E5"/>
    <w:rsid w:val="00A1392A"/>
    <w:rsid w:val="00A216B6"/>
    <w:rsid w:val="00A42218"/>
    <w:rsid w:val="00A43C72"/>
    <w:rsid w:val="00A70249"/>
    <w:rsid w:val="00A70B02"/>
    <w:rsid w:val="00A71D9F"/>
    <w:rsid w:val="00A92E9F"/>
    <w:rsid w:val="00AA3825"/>
    <w:rsid w:val="00AB18FF"/>
    <w:rsid w:val="00AC6769"/>
    <w:rsid w:val="00B2024A"/>
    <w:rsid w:val="00B26269"/>
    <w:rsid w:val="00B33BEA"/>
    <w:rsid w:val="00B37781"/>
    <w:rsid w:val="00B57C9F"/>
    <w:rsid w:val="00B60250"/>
    <w:rsid w:val="00B63572"/>
    <w:rsid w:val="00B704CD"/>
    <w:rsid w:val="00B845B3"/>
    <w:rsid w:val="00B85D8B"/>
    <w:rsid w:val="00BB4A40"/>
    <w:rsid w:val="00BD6022"/>
    <w:rsid w:val="00BD6C3E"/>
    <w:rsid w:val="00BE3674"/>
    <w:rsid w:val="00C04E5B"/>
    <w:rsid w:val="00C10681"/>
    <w:rsid w:val="00C10822"/>
    <w:rsid w:val="00C15C89"/>
    <w:rsid w:val="00C27C0D"/>
    <w:rsid w:val="00C3049A"/>
    <w:rsid w:val="00C31B1E"/>
    <w:rsid w:val="00C32F2E"/>
    <w:rsid w:val="00C57FDE"/>
    <w:rsid w:val="00C61795"/>
    <w:rsid w:val="00C71ED9"/>
    <w:rsid w:val="00C73888"/>
    <w:rsid w:val="00C77645"/>
    <w:rsid w:val="00C927E0"/>
    <w:rsid w:val="00CC0AE4"/>
    <w:rsid w:val="00CE04C3"/>
    <w:rsid w:val="00CE34BE"/>
    <w:rsid w:val="00CE76A0"/>
    <w:rsid w:val="00CE797F"/>
    <w:rsid w:val="00D148C6"/>
    <w:rsid w:val="00D17A8A"/>
    <w:rsid w:val="00D415BA"/>
    <w:rsid w:val="00D473DE"/>
    <w:rsid w:val="00D63780"/>
    <w:rsid w:val="00D644EE"/>
    <w:rsid w:val="00D866DB"/>
    <w:rsid w:val="00DB6FD5"/>
    <w:rsid w:val="00DD06FF"/>
    <w:rsid w:val="00DD5FE9"/>
    <w:rsid w:val="00DE5DDB"/>
    <w:rsid w:val="00E00C7A"/>
    <w:rsid w:val="00E14760"/>
    <w:rsid w:val="00E30B77"/>
    <w:rsid w:val="00E37D6C"/>
    <w:rsid w:val="00E55B68"/>
    <w:rsid w:val="00E561AE"/>
    <w:rsid w:val="00E67BE6"/>
    <w:rsid w:val="00E81AC0"/>
    <w:rsid w:val="00E852E6"/>
    <w:rsid w:val="00E8683C"/>
    <w:rsid w:val="00EA2B72"/>
    <w:rsid w:val="00EF1E08"/>
    <w:rsid w:val="00F06680"/>
    <w:rsid w:val="00F23924"/>
    <w:rsid w:val="00F403B5"/>
    <w:rsid w:val="00F43369"/>
    <w:rsid w:val="00F74360"/>
    <w:rsid w:val="00F953A0"/>
    <w:rsid w:val="00FA34A1"/>
    <w:rsid w:val="00FA7C02"/>
    <w:rsid w:val="00FB462F"/>
    <w:rsid w:val="00FB4FCA"/>
    <w:rsid w:val="00FB609A"/>
    <w:rsid w:val="00FC141E"/>
    <w:rsid w:val="00FC2C69"/>
    <w:rsid w:val="00FD05F5"/>
    <w:rsid w:val="00FD15B6"/>
    <w:rsid w:val="00FD3CEE"/>
    <w:rsid w:val="00FD7CA0"/>
    <w:rsid w:val="00FE16FA"/>
    <w:rsid w:val="00FE2F86"/>
    <w:rsid w:val="00FE328A"/>
    <w:rsid w:val="00FE6269"/>
    <w:rsid w:val="00FF072C"/>
    <w:rsid w:val="00FF18CF"/>
    <w:rsid w:val="00FF5CD6"/>
    <w:rsid w:val="1D97DEFF"/>
    <w:rsid w:val="1DFF72E5"/>
    <w:rsid w:val="1EFC6F07"/>
    <w:rsid w:val="2FDF85B8"/>
    <w:rsid w:val="2FFFEE04"/>
    <w:rsid w:val="34DF85B0"/>
    <w:rsid w:val="3B8F36BC"/>
    <w:rsid w:val="3BFF0E65"/>
    <w:rsid w:val="491FF225"/>
    <w:rsid w:val="4F5F5CDD"/>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BFFF14CC"/>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E7CF9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1773</Words>
  <Characters>10108</Characters>
  <Lines>84</Lines>
  <Paragraphs>23</Paragraphs>
  <TotalTime>14</TotalTime>
  <ScaleCrop>false</ScaleCrop>
  <LinksUpToDate>false</LinksUpToDate>
  <CharactersWithSpaces>11858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2025-09-22T17:46:00Z</dcterms:created>
  <dc:creator>李航 null</dc:creator>
  <cp:lastModifiedBy>kylin</cp:lastModifiedBy>
  <cp:lastPrinted>2024-08-09T10:20:00Z</cp:lastPrinted>
  <dcterms:modified xsi:type="dcterms:W3CDTF">2025-09-24T11:45:09Z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BB7B6AA21D207914D6FDA268992A22D6</vt:lpwstr>
  </property>
</Properties>
</file>