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麻阳苗族自治县2022年度地质灾害防治项目</w:t>
      </w:r>
    </w:p>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绩效评价报告</w:t>
      </w:r>
    </w:p>
    <w:p>
      <w:pPr>
        <w:autoSpaceDE w:val="0"/>
        <w:spacing w:line="480" w:lineRule="auto"/>
        <w:jc w:val="center"/>
        <w:rPr>
          <w:rFonts w:hint="eastAsia" w:ascii="黑体" w:hAnsi="黑体" w:eastAsia="黑体"/>
          <w:sz w:val="44"/>
          <w:szCs w:val="44"/>
        </w:rPr>
      </w:pPr>
      <w:r>
        <w:rPr>
          <w:rFonts w:hint="eastAsia" w:ascii="黑体" w:hAnsi="黑体" w:eastAsia="黑体"/>
          <w:sz w:val="44"/>
          <w:szCs w:val="44"/>
        </w:rPr>
        <w:t xml:space="preserve"> </w:t>
      </w:r>
    </w:p>
    <w:p>
      <w:pPr>
        <w:autoSpaceDE w:val="0"/>
        <w:spacing w:line="480" w:lineRule="auto"/>
        <w:jc w:val="center"/>
        <w:rPr>
          <w:rFonts w:hint="eastAsia" w:ascii="黑体" w:hAnsi="宋体" w:eastAsia="黑体"/>
          <w:b/>
          <w:bCs/>
          <w:sz w:val="36"/>
          <w:szCs w:val="36"/>
        </w:rPr>
      </w:pPr>
      <w:r>
        <w:rPr>
          <w:rFonts w:hint="eastAsia" w:ascii="黑体" w:hAnsi="宋体" w:eastAsia="黑体"/>
          <w:b/>
          <w:bCs/>
          <w:sz w:val="36"/>
          <w:szCs w:val="36"/>
        </w:rPr>
        <w:t xml:space="preserve"> </w:t>
      </w:r>
    </w:p>
    <w:p>
      <w:pPr>
        <w:jc w:val="center"/>
        <w:rPr>
          <w:rFonts w:hint="eastAsia" w:ascii="宋体" w:hAnsi="宋体"/>
          <w:b/>
          <w:sz w:val="40"/>
          <w:szCs w:val="40"/>
          <w:u w:val="single"/>
        </w:rPr>
      </w:pPr>
      <w:r>
        <w:rPr>
          <w:rFonts w:hint="eastAsia" w:ascii="仿宋" w:hAnsi="仿宋" w:eastAsia="仿宋"/>
          <w:b/>
          <w:bCs/>
          <w:spacing w:val="-20"/>
          <w:sz w:val="36"/>
          <w:szCs w:val="36"/>
        </w:rPr>
        <w:t>湖南泰信</w:t>
      </w:r>
      <w:r>
        <w:rPr>
          <w:rFonts w:hint="eastAsia" w:ascii="仿宋" w:hAnsi="仿宋" w:eastAsia="仿宋"/>
          <w:spacing w:val="-20"/>
          <w:sz w:val="36"/>
          <w:szCs w:val="36"/>
        </w:rPr>
        <w:t>[</w:t>
      </w:r>
      <w:r>
        <w:rPr>
          <w:rFonts w:hint="eastAsia" w:ascii="仿宋" w:hAnsi="仿宋" w:eastAsia="仿宋"/>
          <w:b/>
          <w:bCs/>
          <w:spacing w:val="-20"/>
          <w:sz w:val="36"/>
          <w:szCs w:val="36"/>
        </w:rPr>
        <w:t>202</w:t>
      </w:r>
      <w:r>
        <w:rPr>
          <w:rFonts w:hint="eastAsia" w:ascii="仿宋" w:hAnsi="仿宋" w:eastAsia="仿宋"/>
          <w:b/>
          <w:bCs/>
          <w:spacing w:val="-20"/>
          <w:sz w:val="36"/>
          <w:szCs w:val="36"/>
          <w:lang w:val="en-US" w:eastAsia="zh-CN"/>
        </w:rPr>
        <w:t>3</w:t>
      </w:r>
      <w:r>
        <w:rPr>
          <w:rFonts w:hint="eastAsia" w:ascii="仿宋" w:hAnsi="仿宋" w:eastAsia="仿宋"/>
          <w:b/>
          <w:bCs/>
          <w:spacing w:val="-20"/>
          <w:sz w:val="36"/>
          <w:szCs w:val="36"/>
        </w:rPr>
        <w:t>]</w:t>
      </w:r>
      <w:r>
        <w:rPr>
          <w:rFonts w:hint="eastAsia" w:ascii="仿宋" w:hAnsi="仿宋" w:eastAsia="仿宋"/>
          <w:b/>
          <w:bCs/>
          <w:spacing w:val="-20"/>
          <w:sz w:val="36"/>
          <w:szCs w:val="36"/>
          <w:lang w:val="en-US" w:eastAsia="zh-CN"/>
        </w:rPr>
        <w:t>绩评</w:t>
      </w:r>
      <w:r>
        <w:rPr>
          <w:rFonts w:hint="eastAsia" w:ascii="仿宋" w:hAnsi="仿宋" w:eastAsia="仿宋"/>
          <w:b/>
          <w:bCs/>
          <w:spacing w:val="-20"/>
          <w:sz w:val="36"/>
          <w:szCs w:val="36"/>
        </w:rPr>
        <w:t>第</w:t>
      </w:r>
      <w:r>
        <w:rPr>
          <w:rFonts w:hint="eastAsia" w:ascii="仿宋" w:hAnsi="仿宋" w:eastAsia="仿宋"/>
          <w:b/>
          <w:bCs/>
          <w:spacing w:val="-20"/>
          <w:sz w:val="36"/>
          <w:szCs w:val="36"/>
          <w:lang w:val="en-US" w:eastAsia="zh-CN"/>
        </w:rPr>
        <w:t>69</w:t>
      </w:r>
      <w:bookmarkStart w:id="32" w:name="_GoBack"/>
      <w:bookmarkEnd w:id="32"/>
      <w:r>
        <w:rPr>
          <w:rFonts w:hint="eastAsia" w:ascii="仿宋" w:hAnsi="仿宋" w:eastAsia="仿宋"/>
          <w:b/>
          <w:bCs/>
          <w:spacing w:val="-20"/>
          <w:sz w:val="36"/>
          <w:szCs w:val="36"/>
        </w:rPr>
        <w:t>号</w:t>
      </w:r>
    </w:p>
    <w:p>
      <w:pPr>
        <w:jc w:val="center"/>
        <w:rPr>
          <w:rFonts w:hint="eastAsia" w:ascii="宋体" w:hAnsi="宋体"/>
          <w:b/>
          <w:sz w:val="40"/>
          <w:szCs w:val="40"/>
        </w:rPr>
      </w:pPr>
    </w:p>
    <w:p>
      <w:pPr>
        <w:jc w:val="center"/>
        <w:rPr>
          <w:rFonts w:hint="eastAsia"/>
          <w:bCs/>
          <w:sz w:val="40"/>
          <w:szCs w:val="40"/>
        </w:rPr>
      </w:pPr>
      <w:r>
        <w:rPr>
          <w:bCs/>
          <w:sz w:val="40"/>
          <w:szCs w:val="40"/>
        </w:rPr>
        <w:t xml:space="preserve"> </w:t>
      </w:r>
    </w:p>
    <w:p>
      <w:pPr>
        <w:jc w:val="center"/>
        <w:rPr>
          <w:rFonts w:ascii="宋体" w:hAnsi="宋体"/>
          <w:b/>
          <w:sz w:val="40"/>
          <w:szCs w:val="40"/>
        </w:rPr>
      </w:pPr>
      <w:r>
        <w:rPr>
          <w:rFonts w:hint="eastAsia" w:ascii="宋体" w:hAnsi="宋体"/>
          <w:b/>
          <w:sz w:val="40"/>
          <w:szCs w:val="40"/>
        </w:rPr>
        <w:t xml:space="preserve"> </w:t>
      </w:r>
    </w:p>
    <w:p>
      <w:pPr>
        <w:rPr>
          <w:rFonts w:hint="eastAsia"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宋体" w:hAnsi="宋体"/>
          <w:spacing w:val="60"/>
          <w:sz w:val="36"/>
          <w:szCs w:val="36"/>
        </w:rPr>
      </w:pPr>
      <w:r>
        <w:rPr>
          <w:rFonts w:hint="eastAsia" w:ascii="宋体" w:hAnsi="宋体"/>
          <w:spacing w:val="60"/>
          <w:sz w:val="36"/>
          <w:szCs w:val="36"/>
        </w:rPr>
        <w:t>湖南泰信会计师事务所有限公司</w:t>
      </w:r>
    </w:p>
    <w:p>
      <w:pPr>
        <w:pBdr>
          <w:bottom w:val="single" w:color="auto" w:sz="12" w:space="1"/>
        </w:pBdr>
        <w:jc w:val="center"/>
        <w:rPr>
          <w:rFonts w:hint="eastAsia" w:ascii="宋体" w:hAnsi="宋体"/>
          <w:b/>
          <w:sz w:val="36"/>
          <w:szCs w:val="36"/>
        </w:rPr>
      </w:pPr>
      <w:r>
        <w:rPr>
          <w:rFonts w:hint="eastAsia" w:ascii="宋体" w:hAnsi="宋体"/>
          <w:sz w:val="36"/>
          <w:szCs w:val="36"/>
        </w:rPr>
        <w:t xml:space="preserve">HUNAN TAIXIN CERTIFIED PUBLIC ACCOUNTANTS CO.LTD    </w:t>
      </w:r>
      <w:r>
        <w:rPr>
          <w:rFonts w:hint="eastAsia" w:ascii="宋体" w:hAnsi="宋体"/>
          <w:b/>
          <w:sz w:val="36"/>
          <w:szCs w:val="36"/>
        </w:rPr>
        <w:t>湖南●怀化</w:t>
      </w:r>
    </w:p>
    <w:p>
      <w:pPr>
        <w:autoSpaceDE w:val="0"/>
        <w:spacing w:line="480" w:lineRule="auto"/>
        <w:rPr>
          <w:rFonts w:ascii="方正小标宋简体" w:eastAsia="方正小标宋简体"/>
          <w:sz w:val="52"/>
          <w:szCs w:val="52"/>
        </w:rPr>
      </w:pPr>
      <w:r>
        <w:rPr>
          <w:rFonts w:hint="eastAsia" w:ascii="宋体" w:hAnsi="宋体"/>
          <w:b/>
          <w:bCs/>
          <w:sz w:val="48"/>
          <w:szCs w:val="48"/>
        </w:rPr>
        <w:t xml:space="preserve"> </w:t>
      </w:r>
    </w:p>
    <w:p>
      <w:pPr>
        <w:adjustRightInd w:val="0"/>
        <w:snapToGrid w:val="0"/>
        <w:spacing w:line="600" w:lineRule="exact"/>
        <w:ind w:firstLine="1040" w:firstLineChars="200"/>
        <w:rPr>
          <w:rFonts w:ascii="方正小标宋简体" w:eastAsia="方正小标宋简体"/>
          <w:sz w:val="52"/>
          <w:szCs w:val="52"/>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outlineLvl w:val="9"/>
        <w:rPr>
          <w:rFonts w:hint="eastAsia" w:ascii="仿宋" w:hAnsi="仿宋" w:eastAsia="仿宋" w:cs="仿宋"/>
          <w:color w:val="auto"/>
          <w:spacing w:val="-2"/>
          <w:sz w:val="30"/>
          <w:szCs w:val="30"/>
          <w:highlight w:val="none"/>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rPr>
          <w:rFonts w:hint="eastAsia" w:ascii="仿宋" w:hAnsi="仿宋" w:eastAsia="仿宋" w:cs="仿宋"/>
          <w:color w:val="auto"/>
          <w:highlight w:val="none"/>
        </w:rPr>
      </w:pPr>
    </w:p>
    <w:p>
      <w:pPr>
        <w:adjustRightInd w:val="0"/>
        <w:snapToGrid w:val="0"/>
        <w:spacing w:line="600" w:lineRule="exact"/>
        <w:jc w:val="center"/>
        <w:rPr>
          <w:rFonts w:hint="eastAsia" w:ascii="黑体" w:hAnsi="黑体" w:eastAsia="黑体" w:cs="黑体"/>
          <w:sz w:val="44"/>
          <w:szCs w:val="44"/>
          <w:lang w:val="en-US" w:eastAsia="zh-CN"/>
        </w:rPr>
      </w:pPr>
    </w:p>
    <w:p>
      <w:pPr>
        <w:adjustRightInd w:val="0"/>
        <w:snapToGrid w:val="0"/>
        <w:spacing w:line="600" w:lineRule="exact"/>
        <w:jc w:val="center"/>
        <w:rPr>
          <w:rFonts w:hint="eastAsia" w:ascii="黑体" w:hAnsi="黑体" w:eastAsia="黑体" w:cs="黑体"/>
          <w:sz w:val="44"/>
          <w:szCs w:val="44"/>
          <w:lang w:val="en-US" w:eastAsia="zh-CN"/>
        </w:rPr>
      </w:pPr>
    </w:p>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麻阳苗族自治县2022年度地质灾害防治项目</w:t>
      </w:r>
    </w:p>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绩效评价报告</w:t>
      </w:r>
    </w:p>
    <w:p>
      <w:pPr>
        <w:adjustRightInd w:val="0"/>
        <w:snapToGrid w:val="0"/>
        <w:spacing w:line="600" w:lineRule="exact"/>
        <w:ind w:firstLine="1040" w:firstLineChars="200"/>
        <w:rPr>
          <w:rFonts w:ascii="方正小标宋简体" w:eastAsia="方正小标宋简体"/>
          <w:sz w:val="52"/>
          <w:szCs w:val="52"/>
        </w:rPr>
      </w:pPr>
    </w:p>
    <w:p>
      <w:pPr>
        <w:pStyle w:val="4"/>
      </w:pPr>
    </w:p>
    <w:p>
      <w:pPr>
        <w:adjustRightInd w:val="0"/>
        <w:snapToGrid w:val="0"/>
        <w:spacing w:line="600" w:lineRule="exact"/>
        <w:ind w:firstLine="1040" w:firstLineChars="200"/>
        <w:rPr>
          <w:rFonts w:ascii="方正小标宋简体" w:eastAsia="方正小标宋简体"/>
          <w:sz w:val="52"/>
          <w:szCs w:val="52"/>
        </w:rPr>
      </w:pPr>
    </w:p>
    <w:p>
      <w:pPr>
        <w:adjustRightInd w:val="0"/>
        <w:snapToGrid w:val="0"/>
        <w:spacing w:line="600" w:lineRule="exact"/>
        <w:ind w:firstLine="1040" w:firstLineChars="200"/>
        <w:rPr>
          <w:rFonts w:ascii="方正小标宋简体" w:eastAsia="方正小标宋简体"/>
          <w:sz w:val="52"/>
          <w:szCs w:val="52"/>
        </w:rPr>
      </w:pPr>
    </w:p>
    <w:p>
      <w:pPr>
        <w:adjustRightInd w:val="0"/>
        <w:snapToGrid w:val="0"/>
        <w:spacing w:line="600" w:lineRule="exact"/>
        <w:ind w:firstLine="1040" w:firstLineChars="200"/>
        <w:rPr>
          <w:rFonts w:ascii="方正小标宋简体" w:eastAsia="方正小标宋简体"/>
          <w:sz w:val="52"/>
          <w:szCs w:val="52"/>
        </w:rPr>
      </w:pPr>
    </w:p>
    <w:p>
      <w:pPr>
        <w:bidi w:val="0"/>
        <w:ind w:firstLine="640" w:firstLineChars="200"/>
        <w:jc w:val="both"/>
        <w:rPr>
          <w:rFonts w:hint="default" w:ascii="Times New Roman" w:hAnsi="Times New Roman" w:eastAsia="仿宋_GB2312" w:cs="Times New Roman"/>
          <w:sz w:val="32"/>
          <w:szCs w:val="32"/>
          <w:u w:val="single"/>
          <w:lang w:val="en-US" w:eastAsia="zh-CN"/>
        </w:rPr>
      </w:pPr>
      <w:r>
        <w:rPr>
          <w:rFonts w:hint="eastAsia" w:ascii="黑体" w:hAnsi="黑体" w:eastAsia="黑体" w:cs="Times New Roman"/>
          <w:sz w:val="32"/>
          <w:szCs w:val="32"/>
          <w:lang w:eastAsia="zh-CN"/>
        </w:rPr>
        <w:t>项目名称：</w:t>
      </w:r>
      <w:r>
        <w:rPr>
          <w:rFonts w:hint="eastAsia" w:ascii="Times New Roman" w:hAnsi="Times New Roman" w:eastAsia="仿宋_GB2312" w:cs="Times New Roman"/>
          <w:sz w:val="32"/>
          <w:szCs w:val="32"/>
          <w:u w:val="single"/>
          <w:lang w:val="en-US" w:eastAsia="zh-CN"/>
        </w:rPr>
        <w:t>麻阳苗族自治县2022年度地质灾防治项目</w:t>
      </w:r>
    </w:p>
    <w:p>
      <w:pPr>
        <w:adjustRightInd w:val="0"/>
        <w:snapToGrid w:val="0"/>
        <w:spacing w:line="600" w:lineRule="exact"/>
        <w:ind w:left="638" w:leftChars="304" w:firstLine="0" w:firstLineChars="0"/>
        <w:rPr>
          <w:rFonts w:hint="default" w:ascii="Times New Roman" w:hAnsi="Times New Roman" w:eastAsia="仿宋_GB2312" w:cs="Times New Roman"/>
          <w:sz w:val="32"/>
          <w:szCs w:val="32"/>
          <w:u w:val="single"/>
          <w:lang w:val="en-US" w:eastAsia="zh-CN"/>
        </w:rPr>
      </w:pPr>
      <w:r>
        <w:rPr>
          <w:rFonts w:hint="eastAsia" w:ascii="黑体" w:hAnsi="黑体" w:eastAsia="黑体" w:cs="Times New Roman"/>
          <w:sz w:val="32"/>
          <w:szCs w:val="32"/>
          <w:lang w:eastAsia="zh-CN"/>
        </w:rPr>
        <w:t>项目实施单位</w:t>
      </w:r>
      <w:r>
        <w:rPr>
          <w:rFonts w:hint="eastAsia" w:ascii="黑体" w:hAnsi="黑体" w:eastAsia="黑体"/>
          <w:sz w:val="32"/>
          <w:szCs w:val="32"/>
        </w:rPr>
        <w:t>：</w:t>
      </w:r>
      <w:r>
        <w:rPr>
          <w:rFonts w:hint="eastAsia" w:ascii="Times New Roman" w:hAnsi="Times New Roman" w:eastAsia="仿宋_GB2312" w:cs="Times New Roman"/>
          <w:sz w:val="32"/>
          <w:szCs w:val="32"/>
          <w:u w:val="single"/>
          <w:lang w:val="en-US" w:eastAsia="zh-CN"/>
        </w:rPr>
        <w:t>麻阳苗族自治县自然资源局</w:t>
      </w:r>
      <w:r>
        <w:rPr>
          <w:rFonts w:hint="eastAsia" w:ascii="Times New Roman" w:hAnsi="Times New Roman" w:eastAsia="仿宋_GB2312"/>
          <w:sz w:val="32"/>
          <w:szCs w:val="32"/>
          <w:u w:val="single"/>
        </w:rPr>
        <w:t xml:space="preserve">             </w:t>
      </w:r>
      <w:r>
        <w:rPr>
          <w:rFonts w:hint="eastAsia" w:ascii="黑体" w:hAnsi="黑体" w:eastAsia="黑体"/>
          <w:sz w:val="32"/>
          <w:szCs w:val="32"/>
        </w:rPr>
        <w:t>组织单位：</w:t>
      </w:r>
      <w:r>
        <w:rPr>
          <w:rFonts w:hint="eastAsia" w:ascii="Times New Roman" w:hAnsi="Times New Roman" w:eastAsia="仿宋_GB2312" w:cs="Times New Roman"/>
          <w:sz w:val="32"/>
          <w:szCs w:val="32"/>
          <w:u w:val="single"/>
          <w:lang w:val="en-US" w:eastAsia="zh-CN"/>
        </w:rPr>
        <w:t xml:space="preserve"> 麻阳苗族自治县财政局                    </w:t>
      </w:r>
    </w:p>
    <w:p>
      <w:pPr>
        <w:adjustRightInd w:val="0"/>
        <w:snapToGrid w:val="0"/>
        <w:spacing w:line="600" w:lineRule="exact"/>
        <w:ind w:firstLine="640" w:firstLineChars="200"/>
        <w:rPr>
          <w:rFonts w:hint="default" w:ascii="Times New Roman" w:hAnsi="Times New Roman" w:eastAsia="仿宋_GB2312"/>
          <w:sz w:val="32"/>
          <w:szCs w:val="32"/>
          <w:lang w:val="en-US" w:eastAsia="zh-CN"/>
        </w:rPr>
      </w:pPr>
      <w:r>
        <w:rPr>
          <w:rFonts w:hint="eastAsia" w:ascii="黑体" w:hAnsi="黑体" w:eastAsia="黑体"/>
          <w:sz w:val="32"/>
          <w:szCs w:val="32"/>
          <w:lang w:eastAsia="zh-CN"/>
        </w:rPr>
        <w:t>评价</w:t>
      </w:r>
      <w:r>
        <w:rPr>
          <w:rFonts w:hint="eastAsia" w:ascii="黑体" w:hAnsi="黑体" w:eastAsia="黑体"/>
          <w:sz w:val="32"/>
          <w:szCs w:val="32"/>
        </w:rPr>
        <w:t>机构：</w:t>
      </w:r>
      <w:r>
        <w:rPr>
          <w:rFonts w:hint="eastAsia" w:ascii="Times New Roman" w:hAnsi="Times New Roman" w:eastAsia="仿宋_GB2312"/>
          <w:sz w:val="32"/>
          <w:szCs w:val="32"/>
          <w:u w:val="single"/>
        </w:rPr>
        <w:t xml:space="preserve"> 湖南泰信会计师事务所有限公司</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center"/>
        <w:rPr>
          <w:rFonts w:hint="eastAsia" w:eastAsia="仿宋_GB2312"/>
          <w:sz w:val="32"/>
          <w:szCs w:val="32"/>
          <w:lang w:val="en-US" w:eastAsia="zh-CN"/>
        </w:rPr>
      </w:pPr>
    </w:p>
    <w:p>
      <w:pPr>
        <w:snapToGrid w:val="0"/>
        <w:spacing w:line="560" w:lineRule="exact"/>
        <w:ind w:firstLine="1280" w:firstLineChars="400"/>
        <w:jc w:val="center"/>
        <w:rPr>
          <w:rFonts w:hint="eastAsia" w:eastAsia="仿宋_GB2312"/>
          <w:sz w:val="32"/>
          <w:szCs w:val="32"/>
          <w:lang w:val="en-US" w:eastAsia="zh-CN"/>
        </w:rPr>
      </w:pPr>
    </w:p>
    <w:p>
      <w:pPr>
        <w:snapToGrid w:val="0"/>
        <w:spacing w:line="560" w:lineRule="exact"/>
        <w:jc w:val="center"/>
        <w:rPr>
          <w:b/>
          <w:bCs/>
          <w:color w:val="auto"/>
          <w:lang w:val="zh-CN"/>
        </w:rPr>
        <w:sectPr>
          <w:footerReference r:id="rId7" w:type="first"/>
          <w:footerReference r:id="rId6" w:type="default"/>
          <w:headerReference r:id="rId5" w:type="even"/>
          <w:pgSz w:w="11906" w:h="16838"/>
          <w:pgMar w:top="1701" w:right="1587" w:bottom="1474" w:left="1587" w:header="851" w:footer="992" w:gutter="0"/>
          <w:pgNumType w:fmt="decimal" w:start="1"/>
          <w:cols w:space="720" w:num="1"/>
          <w:titlePg/>
          <w:docGrid w:linePitch="312" w:charSpace="0"/>
        </w:sectPr>
      </w:pPr>
      <w:r>
        <w:rPr>
          <w:rFonts w:hint="eastAsia" w:eastAsia="仿宋_GB2312"/>
          <w:sz w:val="32"/>
          <w:szCs w:val="32"/>
          <w:lang w:val="en-US" w:eastAsia="zh-CN"/>
        </w:rPr>
        <w:t>二○二三年十月十二日</w:t>
      </w:r>
    </w:p>
    <w:p>
      <w:pPr>
        <w:pStyle w:val="16"/>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0" w:firstLineChars="0"/>
        <w:jc w:val="center"/>
        <w:textAlignment w:val="baseline"/>
        <w:rPr>
          <w:rFonts w:hint="eastAsia" w:ascii="仿宋" w:hAnsi="仿宋" w:eastAsia="仿宋" w:cs="仿宋"/>
          <w:sz w:val="32"/>
          <w:szCs w:val="32"/>
        </w:rPr>
      </w:pPr>
      <w:r>
        <w:rPr>
          <w:rFonts w:hint="eastAsia" w:ascii="仿宋" w:hAnsi="仿宋" w:eastAsia="仿宋" w:cs="仿宋"/>
          <w:sz w:val="32"/>
          <w:szCs w:val="32"/>
          <w:lang w:val="zh-CN"/>
        </w:rPr>
        <w:t>目  录</w:t>
      </w:r>
    </w:p>
    <w:p>
      <w:pPr>
        <w:pStyle w:val="9"/>
        <w:tabs>
          <w:tab w:val="right" w:leader="dot" w:pos="8788"/>
          <w:tab w:val="clear" w:pos="8948"/>
        </w:tabs>
      </w:pPr>
      <w:r>
        <w:rPr>
          <w:rFonts w:hint="eastAsia" w:ascii="仿宋" w:hAnsi="仿宋" w:eastAsia="仿宋" w:cs="仿宋"/>
          <w:b w:val="0"/>
          <w:bCs/>
          <w:sz w:val="21"/>
          <w:szCs w:val="21"/>
          <w:lang w:val="zh-CN"/>
        </w:rPr>
        <w:fldChar w:fldCharType="begin"/>
      </w:r>
      <w:r>
        <w:rPr>
          <w:rFonts w:hint="eastAsia" w:ascii="仿宋" w:hAnsi="仿宋" w:eastAsia="仿宋" w:cs="仿宋"/>
          <w:b w:val="0"/>
          <w:bCs/>
          <w:sz w:val="21"/>
          <w:szCs w:val="21"/>
          <w:lang w:val="zh-CN"/>
        </w:rPr>
        <w:instrText xml:space="preserve"> TOC \o "1-3" \h \z \u </w:instrText>
      </w:r>
      <w:r>
        <w:rPr>
          <w:rFonts w:hint="eastAsia" w:ascii="仿宋" w:hAnsi="仿宋" w:eastAsia="仿宋" w:cs="仿宋"/>
          <w:b w:val="0"/>
          <w:bCs/>
          <w:sz w:val="21"/>
          <w:szCs w:val="21"/>
          <w:lang w:val="zh-CN"/>
        </w:rPr>
        <w:fldChar w:fldCharType="separate"/>
      </w: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_Toc21709 </w:instrText>
      </w:r>
      <w:r>
        <w:rPr>
          <w:rFonts w:hint="eastAsia" w:ascii="仿宋" w:hAnsi="仿宋" w:eastAsia="仿宋" w:cs="仿宋"/>
          <w:bCs/>
          <w:szCs w:val="21"/>
          <w:lang w:val="zh-CN"/>
        </w:rPr>
        <w:fldChar w:fldCharType="separate"/>
      </w:r>
      <w:r>
        <w:rPr>
          <w:rFonts w:hint="eastAsia" w:ascii="Calibri" w:hAnsi="Calibri" w:eastAsia="黑体" w:cs="Times New Roman"/>
          <w:bCs/>
          <w:snapToGrid/>
          <w:szCs w:val="44"/>
          <w:lang w:val="en-US" w:eastAsia="zh-CN" w:bidi="ar-SA"/>
        </w:rPr>
        <w:t>一</w:t>
      </w:r>
      <w:r>
        <w:rPr>
          <w:rFonts w:hint="eastAsia" w:ascii="Calibri" w:hAnsi="Calibri" w:eastAsia="黑体" w:cs="Times New Roman"/>
          <w:bCs/>
          <w:i/>
          <w:iCs/>
          <w:snapToGrid/>
          <w:szCs w:val="44"/>
          <w:lang w:val="en-US" w:eastAsia="zh-CN" w:bidi="ar-SA"/>
        </w:rPr>
        <w:t>、</w:t>
      </w:r>
      <w:r>
        <w:rPr>
          <w:rFonts w:hint="eastAsia" w:ascii="Calibri" w:hAnsi="Calibri" w:eastAsia="黑体" w:cs="Times New Roman"/>
          <w:bCs/>
          <w:snapToGrid/>
          <w:szCs w:val="44"/>
          <w:lang w:val="en-US" w:eastAsia="zh-CN" w:bidi="ar-SA"/>
        </w:rPr>
        <w:t>项目基本情况</w:t>
      </w:r>
      <w:r>
        <w:tab/>
      </w:r>
      <w:r>
        <w:fldChar w:fldCharType="begin"/>
      </w:r>
      <w:r>
        <w:instrText xml:space="preserve"> PAGEREF _Toc21709 \h </w:instrText>
      </w:r>
      <w:r>
        <w:fldChar w:fldCharType="separate"/>
      </w:r>
      <w:r>
        <w:t>1</w:t>
      </w:r>
      <w:r>
        <w:fldChar w:fldCharType="end"/>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_Toc29170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（一） 项目概况</w:t>
      </w:r>
      <w:r>
        <w:rPr>
          <w:rFonts w:hint="eastAsia" w:ascii="Cambria" w:hAnsi="Cambria" w:eastAsia="楷体_GB2312" w:cs="Times New Roman"/>
          <w:bCs/>
          <w:snapToGrid/>
          <w:kern w:val="2"/>
          <w:szCs w:val="32"/>
          <w:lang w:val="en-US" w:eastAsia="zh-CN" w:bidi="ar-SA"/>
        </w:rPr>
        <w:tab/>
      </w:r>
      <w:r>
        <w:rPr>
          <w:rFonts w:hint="eastAsia" w:eastAsia="楷体_GB2312"/>
          <w:lang w:val="en-US" w:eastAsia="zh-CN"/>
        </w:rPr>
        <w:t>2</w:t>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_Toc8440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（二）项目资金的基本情况</w:t>
      </w:r>
      <w:r>
        <w:tab/>
      </w:r>
      <w:r>
        <w:rPr>
          <w:rFonts w:hint="eastAsia" w:eastAsia="宋体"/>
          <w:lang w:val="en-US" w:eastAsia="zh-CN"/>
        </w:rPr>
        <w:t>3</w:t>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_Toc1909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（三） 项目绩效目标和绩效指标</w:t>
      </w:r>
      <w:r>
        <w:tab/>
      </w:r>
      <w:r>
        <w:fldChar w:fldCharType="begin"/>
      </w:r>
      <w:r>
        <w:instrText xml:space="preserve"> PAGEREF _Toc1909 \h </w:instrText>
      </w:r>
      <w:r>
        <w:fldChar w:fldCharType="separate"/>
      </w:r>
      <w:r>
        <w:t>4</w:t>
      </w:r>
      <w:r>
        <w:fldChar w:fldCharType="end"/>
      </w:r>
      <w:r>
        <w:rPr>
          <w:rFonts w:hint="eastAsia" w:ascii="仿宋" w:hAnsi="仿宋" w:eastAsia="仿宋" w:cs="仿宋"/>
          <w:bCs/>
          <w:szCs w:val="21"/>
          <w:lang w:val="zh-CN"/>
        </w:rPr>
        <w:fldChar w:fldCharType="end"/>
      </w:r>
    </w:p>
    <w:p>
      <w:pPr>
        <w:pStyle w:val="9"/>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_Toc9340 </w:instrText>
      </w:r>
      <w:r>
        <w:rPr>
          <w:rFonts w:hint="eastAsia" w:ascii="仿宋" w:hAnsi="仿宋" w:eastAsia="仿宋" w:cs="仿宋"/>
          <w:bCs/>
          <w:szCs w:val="21"/>
          <w:lang w:val="zh-CN"/>
        </w:rPr>
        <w:fldChar w:fldCharType="separate"/>
      </w:r>
      <w:r>
        <w:rPr>
          <w:rFonts w:hint="eastAsia" w:ascii="Calibri" w:hAnsi="Calibri" w:eastAsia="黑体" w:cs="Times New Roman"/>
          <w:bCs/>
          <w:snapToGrid/>
          <w:szCs w:val="44"/>
          <w:lang w:val="en-US" w:eastAsia="zh-CN" w:bidi="ar-SA"/>
        </w:rPr>
        <w:t>二、绩效评价工作情况</w:t>
      </w:r>
      <w:r>
        <w:tab/>
      </w:r>
      <w:r>
        <w:fldChar w:fldCharType="begin"/>
      </w:r>
      <w:r>
        <w:instrText xml:space="preserve"> PAGEREF _Toc9340 \h </w:instrText>
      </w:r>
      <w:r>
        <w:fldChar w:fldCharType="separate"/>
      </w:r>
      <w:r>
        <w:t>5</w:t>
      </w:r>
      <w:r>
        <w:fldChar w:fldCharType="end"/>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_Toc6754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（一）绩效评价目的</w:t>
      </w:r>
      <w:r>
        <w:tab/>
      </w:r>
      <w:r>
        <w:fldChar w:fldCharType="begin"/>
      </w:r>
      <w:r>
        <w:instrText xml:space="preserve"> PAGEREF _Toc6754 \h </w:instrText>
      </w:r>
      <w:r>
        <w:fldChar w:fldCharType="separate"/>
      </w:r>
      <w:r>
        <w:t>5</w:t>
      </w:r>
      <w:r>
        <w:fldChar w:fldCharType="end"/>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_Toc22130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（二） 绩效评价工作内容</w:t>
      </w:r>
      <w:r>
        <w:tab/>
      </w:r>
      <w:r>
        <w:fldChar w:fldCharType="begin"/>
      </w:r>
      <w:r>
        <w:instrText xml:space="preserve"> PAGEREF _Toc22130 \h </w:instrText>
      </w:r>
      <w:r>
        <w:fldChar w:fldCharType="separate"/>
      </w:r>
      <w:r>
        <w:t>5</w:t>
      </w:r>
      <w:r>
        <w:fldChar w:fldCharType="end"/>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_Toc31464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（三） 绩效评价框架</w:t>
      </w:r>
      <w:r>
        <w:tab/>
      </w:r>
      <w:r>
        <w:fldChar w:fldCharType="begin"/>
      </w:r>
      <w:r>
        <w:instrText xml:space="preserve"> PAGEREF _Toc31464 \h </w:instrText>
      </w:r>
      <w:r>
        <w:fldChar w:fldCharType="separate"/>
      </w:r>
      <w:r>
        <w:t>6</w:t>
      </w:r>
      <w:r>
        <w:fldChar w:fldCharType="end"/>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_Toc11718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（四） 证据收集方式</w:t>
      </w:r>
      <w:r>
        <w:tab/>
      </w:r>
      <w:r>
        <w:fldChar w:fldCharType="begin"/>
      </w:r>
      <w:r>
        <w:instrText xml:space="preserve"> PAGEREF _Toc11718 \h </w:instrText>
      </w:r>
      <w:r>
        <w:fldChar w:fldCharType="separate"/>
      </w:r>
      <w:r>
        <w:t>8</w:t>
      </w:r>
      <w:r>
        <w:fldChar w:fldCharType="end"/>
      </w:r>
      <w:r>
        <w:rPr>
          <w:rFonts w:hint="eastAsia" w:ascii="仿宋" w:hAnsi="仿宋" w:eastAsia="仿宋" w:cs="仿宋"/>
          <w:bCs/>
          <w:szCs w:val="21"/>
          <w:lang w:val="zh-CN"/>
        </w:rPr>
        <w:fldChar w:fldCharType="end"/>
      </w:r>
    </w:p>
    <w:p>
      <w:pPr>
        <w:pStyle w:val="9"/>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_Toc30167 </w:instrText>
      </w:r>
      <w:r>
        <w:rPr>
          <w:rFonts w:hint="eastAsia" w:ascii="仿宋" w:hAnsi="仿宋" w:eastAsia="仿宋" w:cs="仿宋"/>
          <w:bCs/>
          <w:szCs w:val="21"/>
          <w:lang w:val="zh-CN"/>
        </w:rPr>
        <w:fldChar w:fldCharType="separate"/>
      </w:r>
      <w:r>
        <w:rPr>
          <w:rFonts w:hint="eastAsia" w:ascii="Calibri" w:hAnsi="Calibri" w:eastAsia="黑体" w:cs="Times New Roman"/>
          <w:bCs/>
          <w:snapToGrid/>
          <w:szCs w:val="44"/>
          <w:lang w:val="en-US" w:eastAsia="zh-CN" w:bidi="ar-SA"/>
        </w:rPr>
        <w:t>三、绩效评价分析</w:t>
      </w:r>
      <w:r>
        <w:tab/>
      </w:r>
      <w:r>
        <w:fldChar w:fldCharType="begin"/>
      </w:r>
      <w:r>
        <w:instrText xml:space="preserve"> PAGEREF _Toc30167 \h </w:instrText>
      </w:r>
      <w:r>
        <w:fldChar w:fldCharType="separate"/>
      </w:r>
      <w:r>
        <w:t>8</w:t>
      </w:r>
      <w:r>
        <w:fldChar w:fldCharType="end"/>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_Toc30546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（一） 决策</w:t>
      </w:r>
      <w:r>
        <w:tab/>
      </w:r>
      <w:r>
        <w:fldChar w:fldCharType="begin"/>
      </w:r>
      <w:r>
        <w:instrText xml:space="preserve"> PAGEREF _Toc30546 \h </w:instrText>
      </w:r>
      <w:r>
        <w:fldChar w:fldCharType="separate"/>
      </w:r>
      <w:r>
        <w:t>8</w:t>
      </w:r>
      <w:r>
        <w:fldChar w:fldCharType="end"/>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_Toc12999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（二） 过程</w:t>
      </w:r>
      <w:r>
        <w:tab/>
      </w:r>
      <w:r>
        <w:fldChar w:fldCharType="begin"/>
      </w:r>
      <w:r>
        <w:instrText xml:space="preserve"> PAGEREF _Toc12999 \h </w:instrText>
      </w:r>
      <w:r>
        <w:fldChar w:fldCharType="separate"/>
      </w:r>
      <w:r>
        <w:t>9</w:t>
      </w:r>
      <w:r>
        <w:fldChar w:fldCharType="end"/>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_Toc6636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（三） 产出</w:t>
      </w:r>
      <w:r>
        <w:tab/>
      </w:r>
      <w:r>
        <w:fldChar w:fldCharType="begin"/>
      </w:r>
      <w:r>
        <w:instrText xml:space="preserve"> PAGEREF _Toc6636 \h </w:instrText>
      </w:r>
      <w:r>
        <w:fldChar w:fldCharType="separate"/>
      </w:r>
      <w:r>
        <w:t>10</w:t>
      </w:r>
      <w:r>
        <w:fldChar w:fldCharType="end"/>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_Toc19557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（四） 效益</w:t>
      </w:r>
      <w:r>
        <w:tab/>
      </w:r>
      <w:r>
        <w:fldChar w:fldCharType="begin"/>
      </w:r>
      <w:r>
        <w:instrText xml:space="preserve"> PAGEREF _Toc19557 \h </w:instrText>
      </w:r>
      <w:r>
        <w:fldChar w:fldCharType="separate"/>
      </w:r>
      <w:r>
        <w:t>11</w:t>
      </w:r>
      <w:r>
        <w:fldChar w:fldCharType="end"/>
      </w:r>
      <w:r>
        <w:rPr>
          <w:rFonts w:hint="eastAsia" w:ascii="仿宋" w:hAnsi="仿宋" w:eastAsia="仿宋" w:cs="仿宋"/>
          <w:bCs/>
          <w:szCs w:val="21"/>
          <w:lang w:val="zh-CN"/>
        </w:rPr>
        <w:fldChar w:fldCharType="end"/>
      </w:r>
    </w:p>
    <w:p>
      <w:pPr>
        <w:pStyle w:val="9"/>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_Toc8174 </w:instrText>
      </w:r>
      <w:r>
        <w:rPr>
          <w:rFonts w:hint="eastAsia" w:ascii="仿宋" w:hAnsi="仿宋" w:eastAsia="仿宋" w:cs="仿宋"/>
          <w:bCs/>
          <w:szCs w:val="21"/>
          <w:lang w:val="zh-CN"/>
        </w:rPr>
        <w:fldChar w:fldCharType="separate"/>
      </w:r>
      <w:r>
        <w:rPr>
          <w:rFonts w:hint="eastAsia" w:ascii="Calibri" w:hAnsi="Calibri" w:eastAsia="黑体" w:cs="Times New Roman"/>
          <w:bCs/>
          <w:snapToGrid/>
          <w:szCs w:val="44"/>
          <w:lang w:val="en-US" w:eastAsia="zh-CN" w:bidi="ar-SA"/>
        </w:rPr>
        <w:t>四、评价结论</w:t>
      </w:r>
      <w:r>
        <w:tab/>
      </w:r>
      <w:r>
        <w:fldChar w:fldCharType="begin"/>
      </w:r>
      <w:r>
        <w:instrText xml:space="preserve"> PAGEREF _Toc8174 \h </w:instrText>
      </w:r>
      <w:r>
        <w:fldChar w:fldCharType="separate"/>
      </w:r>
      <w:r>
        <w:t>12</w:t>
      </w:r>
      <w:r>
        <w:fldChar w:fldCharType="end"/>
      </w:r>
      <w:r>
        <w:rPr>
          <w:rFonts w:hint="eastAsia" w:ascii="仿宋" w:hAnsi="仿宋" w:eastAsia="仿宋" w:cs="仿宋"/>
          <w:bCs/>
          <w:szCs w:val="21"/>
          <w:lang w:val="zh-CN"/>
        </w:rPr>
        <w:fldChar w:fldCharType="end"/>
      </w:r>
    </w:p>
    <w:p>
      <w:pPr>
        <w:pStyle w:val="9"/>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_Toc15459 </w:instrText>
      </w:r>
      <w:r>
        <w:rPr>
          <w:rFonts w:hint="eastAsia" w:ascii="仿宋" w:hAnsi="仿宋" w:eastAsia="仿宋" w:cs="仿宋"/>
          <w:bCs/>
          <w:szCs w:val="21"/>
          <w:lang w:val="zh-CN"/>
        </w:rPr>
        <w:fldChar w:fldCharType="separate"/>
      </w:r>
      <w:r>
        <w:rPr>
          <w:rFonts w:hint="eastAsia" w:ascii="Calibri" w:hAnsi="Calibri" w:eastAsia="黑体" w:cs="Times New Roman"/>
          <w:bCs/>
          <w:snapToGrid/>
          <w:szCs w:val="44"/>
          <w:lang w:val="en-US" w:eastAsia="zh-CN" w:bidi="ar-SA"/>
        </w:rPr>
        <w:t>五、存在的问题和建议</w:t>
      </w:r>
      <w:r>
        <w:tab/>
      </w:r>
      <w:r>
        <w:fldChar w:fldCharType="begin"/>
      </w:r>
      <w:r>
        <w:instrText xml:space="preserve"> PAGEREF _Toc15459 \h </w:instrText>
      </w:r>
      <w:r>
        <w:fldChar w:fldCharType="separate"/>
      </w:r>
      <w:r>
        <w:t>12</w:t>
      </w:r>
      <w:r>
        <w:fldChar w:fldCharType="end"/>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_Toc23043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（一） 存在的问题</w:t>
      </w:r>
      <w:r>
        <w:tab/>
      </w:r>
      <w:r>
        <w:fldChar w:fldCharType="begin"/>
      </w:r>
      <w:r>
        <w:instrText xml:space="preserve"> PAGEREF _Toc23043 \h </w:instrText>
      </w:r>
      <w:r>
        <w:fldChar w:fldCharType="separate"/>
      </w:r>
      <w:r>
        <w:t>12</w:t>
      </w:r>
      <w:r>
        <w:fldChar w:fldCharType="end"/>
      </w:r>
      <w:r>
        <w:rPr>
          <w:rFonts w:hint="eastAsia" w:ascii="仿宋" w:hAnsi="仿宋" w:eastAsia="仿宋" w:cs="仿宋"/>
          <w:bCs/>
          <w:szCs w:val="21"/>
          <w:lang w:val="zh-CN"/>
        </w:rPr>
        <w:fldChar w:fldCharType="end"/>
      </w:r>
    </w:p>
    <w:p>
      <w:pPr>
        <w:pStyle w:val="10"/>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_Toc16278 </w:instrText>
      </w:r>
      <w:r>
        <w:rPr>
          <w:rFonts w:hint="eastAsia" w:ascii="仿宋" w:hAnsi="仿宋" w:eastAsia="仿宋" w:cs="仿宋"/>
          <w:bCs/>
          <w:szCs w:val="21"/>
          <w:lang w:val="zh-CN"/>
        </w:rPr>
        <w:fldChar w:fldCharType="separate"/>
      </w:r>
      <w:r>
        <w:rPr>
          <w:rFonts w:hint="eastAsia" w:ascii="Cambria" w:hAnsi="Cambria" w:eastAsia="楷体_GB2312" w:cs="Times New Roman"/>
          <w:bCs/>
          <w:snapToGrid/>
          <w:kern w:val="2"/>
          <w:szCs w:val="32"/>
          <w:lang w:val="en-US" w:eastAsia="zh-CN" w:bidi="ar-SA"/>
        </w:rPr>
        <w:t>（二） 改进建议</w:t>
      </w:r>
      <w:r>
        <w:tab/>
      </w:r>
      <w:r>
        <w:fldChar w:fldCharType="begin"/>
      </w:r>
      <w:r>
        <w:instrText xml:space="preserve"> PAGEREF _Toc16278 \h </w:instrText>
      </w:r>
      <w:r>
        <w:fldChar w:fldCharType="separate"/>
      </w:r>
      <w:r>
        <w:t>13</w:t>
      </w:r>
      <w:r>
        <w:fldChar w:fldCharType="end"/>
      </w:r>
      <w:r>
        <w:rPr>
          <w:rFonts w:hint="eastAsia" w:ascii="仿宋" w:hAnsi="仿宋" w:eastAsia="仿宋" w:cs="仿宋"/>
          <w:bCs/>
          <w:szCs w:val="21"/>
          <w:lang w:val="zh-CN"/>
        </w:rPr>
        <w:fldChar w:fldCharType="end"/>
      </w:r>
    </w:p>
    <w:p>
      <w:pPr>
        <w:pStyle w:val="9"/>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_Toc19764 </w:instrText>
      </w:r>
      <w:r>
        <w:rPr>
          <w:rFonts w:hint="eastAsia" w:ascii="仿宋" w:hAnsi="仿宋" w:eastAsia="仿宋" w:cs="仿宋"/>
          <w:bCs/>
          <w:szCs w:val="21"/>
          <w:lang w:val="zh-CN"/>
        </w:rPr>
        <w:fldChar w:fldCharType="separate"/>
      </w:r>
      <w:r>
        <w:rPr>
          <w:rFonts w:hint="eastAsia" w:ascii="Calibri" w:hAnsi="Calibri" w:eastAsia="黑体" w:cs="Times New Roman"/>
          <w:bCs/>
          <w:snapToGrid/>
          <w:szCs w:val="44"/>
          <w:lang w:val="en-US" w:eastAsia="zh-CN" w:bidi="ar-SA"/>
        </w:rPr>
        <w:t>六、其他需说明的情况</w:t>
      </w:r>
      <w:r>
        <w:tab/>
      </w:r>
      <w:r>
        <w:fldChar w:fldCharType="begin"/>
      </w:r>
      <w:r>
        <w:instrText xml:space="preserve"> PAGEREF _Toc19764 \h </w:instrText>
      </w:r>
      <w:r>
        <w:fldChar w:fldCharType="separate"/>
      </w:r>
      <w:r>
        <w:t>14</w:t>
      </w:r>
      <w:r>
        <w:fldChar w:fldCharType="end"/>
      </w:r>
      <w:r>
        <w:rPr>
          <w:rFonts w:hint="eastAsia" w:ascii="仿宋" w:hAnsi="仿宋" w:eastAsia="仿宋" w:cs="仿宋"/>
          <w:bCs/>
          <w:szCs w:val="21"/>
          <w:lang w:val="zh-CN"/>
        </w:rPr>
        <w:fldChar w:fldCharType="end"/>
      </w:r>
    </w:p>
    <w:p>
      <w:pPr>
        <w:pStyle w:val="9"/>
        <w:tabs>
          <w:tab w:val="right" w:leader="dot" w:pos="8788"/>
          <w:tab w:val="clear" w:pos="8948"/>
        </w:tabs>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_Toc15427 </w:instrText>
      </w:r>
      <w:r>
        <w:rPr>
          <w:rFonts w:hint="eastAsia" w:ascii="仿宋" w:hAnsi="仿宋" w:eastAsia="仿宋" w:cs="仿宋"/>
          <w:bCs/>
          <w:szCs w:val="21"/>
          <w:lang w:val="zh-CN"/>
        </w:rPr>
        <w:fldChar w:fldCharType="separate"/>
      </w:r>
      <w:r>
        <w:rPr>
          <w:rFonts w:hint="eastAsia" w:ascii="Calibri" w:hAnsi="Calibri" w:eastAsia="黑体" w:cs="Times New Roman"/>
          <w:bCs/>
          <w:snapToGrid/>
          <w:szCs w:val="44"/>
          <w:lang w:val="en-US" w:eastAsia="zh-CN" w:bidi="ar-SA"/>
        </w:rPr>
        <w:t>七、附件</w:t>
      </w:r>
      <w:r>
        <w:tab/>
      </w:r>
      <w:r>
        <w:fldChar w:fldCharType="begin"/>
      </w:r>
      <w:r>
        <w:instrText xml:space="preserve"> PAGEREF _Toc15427 \h </w:instrText>
      </w:r>
      <w:r>
        <w:fldChar w:fldCharType="separate"/>
      </w:r>
      <w:r>
        <w:t>14</w:t>
      </w:r>
      <w:r>
        <w:fldChar w:fldCharType="end"/>
      </w:r>
      <w:r>
        <w:rPr>
          <w:rFonts w:hint="eastAsia" w:ascii="仿宋" w:hAnsi="仿宋" w:eastAsia="仿宋" w:cs="仿宋"/>
          <w:bCs/>
          <w:szCs w:val="21"/>
          <w:lang w:val="zh-CN"/>
        </w:rPr>
        <w:fldChar w:fldCharType="end"/>
      </w:r>
    </w:p>
    <w:p>
      <w:pPr>
        <w:keepNext w:val="0"/>
        <w:keepLines w:val="0"/>
        <w:pageBreakBefore w:val="0"/>
        <w:widowControl/>
        <w:kinsoku w:val="0"/>
        <w:wordWrap/>
        <w:overflowPunct/>
        <w:topLinePunct w:val="0"/>
        <w:autoSpaceDE w:val="0"/>
        <w:autoSpaceDN w:val="0"/>
        <w:bidi w:val="0"/>
        <w:adjustRightInd w:val="0"/>
        <w:snapToGrid w:val="0"/>
        <w:spacing w:before="0" w:after="0" w:line="480" w:lineRule="auto"/>
        <w:jc w:val="both"/>
        <w:textAlignment w:val="baseline"/>
        <w:rPr>
          <w:rFonts w:hint="eastAsia" w:ascii="仿宋" w:hAnsi="仿宋" w:eastAsia="仿宋" w:cs="仿宋"/>
          <w:color w:val="auto"/>
          <w:highlight w:val="none"/>
        </w:rPr>
      </w:pPr>
      <w:r>
        <w:rPr>
          <w:rFonts w:hint="eastAsia" w:ascii="仿宋" w:hAnsi="仿宋" w:eastAsia="仿宋" w:cs="仿宋"/>
          <w:bCs/>
          <w:szCs w:val="21"/>
          <w:lang w:val="zh-CN"/>
        </w:rPr>
        <w:fldChar w:fldCharType="end"/>
      </w: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outlineLvl w:val="9"/>
        <w:rPr>
          <w:rFonts w:hint="eastAsia" w:ascii="仿宋" w:hAnsi="仿宋" w:eastAsia="仿宋" w:cs="仿宋"/>
          <w:color w:val="auto"/>
          <w:spacing w:val="-2"/>
          <w:sz w:val="30"/>
          <w:szCs w:val="30"/>
          <w:highlight w:val="none"/>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rPr>
          <w:rFonts w:hint="eastAsia" w:ascii="仿宋" w:hAnsi="仿宋" w:eastAsia="仿宋" w:cs="仿宋"/>
          <w:color w:val="auto"/>
          <w:highlight w:val="no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0"/>
          <w:szCs w:val="30"/>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center"/>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sectPr>
          <w:headerReference r:id="rId8" w:type="default"/>
          <w:footerReference r:id="rId9" w:type="default"/>
          <w:pgSz w:w="11906" w:h="16838"/>
          <w:pgMar w:top="1003" w:right="1417" w:bottom="1003" w:left="1701" w:header="851" w:footer="992" w:gutter="0"/>
          <w:pgBorders>
            <w:top w:val="none" w:sz="0" w:space="0"/>
            <w:left w:val="none" w:sz="0" w:space="0"/>
            <w:bottom w:val="none" w:sz="0" w:space="0"/>
            <w:right w:val="none" w:sz="0" w:space="0"/>
          </w:pgBorders>
          <w:cols w:space="0" w:num="1"/>
          <w:rtlGutter w:val="0"/>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麻阳苗族自治县2022年度地质灾害防治项目</w:t>
      </w:r>
    </w:p>
    <w:p>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绩效评价报告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为加强财政支出管理，提高财政资金使用效益，根据《预算法》《中共中央国务院关于全面实施预算绩效管理的意见》（中发〔2018〕34号）、《中共湖南省委办公厅 湖南省人民政府办公厅 关于全面实施预算绩效管理的实施意见》（湘办发〔2019〕10号）、《财政部关于印发项目支出绩效评价管理办法的通知》（财预〔2020〕10号）、《湖南省预算支出绩效评价管理办法》(湘财绩〔2020〕7号)和《麻阳苗族自治县财政局关于开展2022年度财政预算支出重点项目绩效评价工作的通知》（麻财绩〔2023〕5号）等文件精神，湖南泰信会计师事务所有限公司受麻阳苗族自治县财政局的委托，对麻阳苗族自治县2022年度地质灾害防治项目实施绩效评价。项目实施单位对其提供的与本次评价相关的财务和其他资料的真实性和完整性负责。我们的责任是依据相关政策文件及项目单位提供的资料，对项目的决策、过程、产出及效果等方面进行绩效评价，并出具绩效评价报告。在绩效评价过程中,我们结合单位的实际情况,实施了包括检查会计记录、询问、实地考察、问卷调查等我们认为必要的程序。现将本次绩效评价情况报告如下:</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0" w:name="_Toc21709"/>
      <w:r>
        <w:rPr>
          <w:rFonts w:hint="eastAsia" w:ascii="Calibri" w:hAnsi="Calibri" w:eastAsia="黑体" w:cs="Times New Roman"/>
          <w:bCs/>
          <w:snapToGrid/>
          <w:sz w:val="32"/>
          <w:szCs w:val="44"/>
          <w:lang w:val="en-US" w:eastAsia="zh-CN" w:bidi="ar-SA"/>
        </w:rPr>
        <w:t>一、项目基本情况</w:t>
      </w:r>
      <w:bookmarkEnd w:id="0"/>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 w:name="_Toc29170"/>
      <w:r>
        <w:rPr>
          <w:rFonts w:hint="eastAsia" w:ascii="Cambria" w:hAnsi="Cambria" w:eastAsia="楷体_GB2312" w:cs="Times New Roman"/>
          <w:bCs/>
          <w:snapToGrid/>
          <w:kern w:val="2"/>
          <w:sz w:val="32"/>
          <w:szCs w:val="32"/>
          <w:lang w:val="en-US" w:eastAsia="zh-CN" w:bidi="ar-SA"/>
        </w:rPr>
        <w:t>（一） 项目概况</w:t>
      </w:r>
      <w:bookmarkEnd w:id="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1、立项背景</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湖南省财政厅、湖南省自然资源厅于2022年12月9日下发《湖南省财政厅、湖南省自然资源厅关于下达2023年第一批中央自然灾害防治体系建设补助资金的通知》（湘财资环指〔2022〕62号）：通知下达麻阳苗族自治县2023年年底前完成谭家寨乡乌林溪村二、七、八组滑坡地质灾害治理工程，消除地质灾害隐患，保护受威胁群众生命财产安全。</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2、项目实施单位基本情况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单位为麻阳苗族自治县自然资源局，其主要职责是：（1）依法履行全民所有土地、矿产、森林、草原、湿地、水等自然资源资产所有者职责和所有国土空间用途管制职责。（2）负责自然资源调查监测评价、确权登记、开发利用。（3）负责地质灾害预防和治理。（4）县委和县政府交办的其他工作任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内部机构设置情况：内设办公室、督察室、人事财务股、行政审批服务股、自然资源调查监测确权登记股、地产股、国土空间规划测绘股、耕地保护监督股、地质勘查修复股、矿产资源保护监督股、用地规划管理股、建筑和市政工程规划管理股。</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3、项目情况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2022年度地质灾害防治项目共涉及12个乡镇20个村。包括高村镇大比坳村火马坳滑坡、水漫溪村1组安堂坡滑坡、洲上村5组滑坡、绿溪口村5组滑坡；吕家坪镇老山冲滑坡；石羊哨乡石羊哨村1组滑坡、李家村1组滑坡；隆家堡乡黄溪村8组滑坡、三角坳村2组滑坡；和平溪乡珠宝寨村10组滑坡，和平溪村2组滑坡；兰村乡兰村村（政府背后）滑坡；黄桑乡桃花村14组（梓木冲）滑坡，岩湾村1、3组滑坡，军田村滑坡；板栗树乡地亭溪村7组滑坡，大辽村2组滑坡；文昌阁乡文昌新村1组滑坡；岩门镇岩门村8组滑坡；锦和镇尚坪村1、2组滑坡。</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default" w:ascii="Cambria" w:hAnsi="Cambria" w:eastAsia="楷体_GB2312" w:cs="Times New Roman"/>
          <w:bCs/>
          <w:snapToGrid/>
          <w:kern w:val="2"/>
          <w:sz w:val="32"/>
          <w:szCs w:val="32"/>
          <w:lang w:val="en-US" w:eastAsia="zh-CN" w:bidi="ar-SA"/>
        </w:rPr>
      </w:pPr>
      <w:bookmarkStart w:id="2" w:name="_Toc8440"/>
      <w:r>
        <w:rPr>
          <w:rFonts w:hint="eastAsia" w:ascii="Cambria" w:hAnsi="Cambria" w:eastAsia="楷体_GB2312" w:cs="Times New Roman"/>
          <w:bCs/>
          <w:snapToGrid/>
          <w:kern w:val="2"/>
          <w:sz w:val="32"/>
          <w:szCs w:val="32"/>
          <w:lang w:val="en-US" w:eastAsia="zh-CN" w:bidi="ar-SA"/>
        </w:rPr>
        <w:t>（二）项目资金的基本情况</w:t>
      </w:r>
      <w:bookmarkEnd w:id="2"/>
    </w:p>
    <w:p>
      <w:pPr>
        <w:pStyle w:val="9"/>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1、项目资金的安排情况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麻阳苗族自治县2022年度地质灾害防治项目共安排财政资金300万元，其中：湘财建指【2022】32号文下达200万元、湘财建指【2022】58号文下达100万元。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2、项目资金的收入情况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截至2023年9月15日，麻阳苗族自治县自然资源局共收到县财政拨付的本项目资金224.2724万元。中央、省下达的资金计划中75.7276万元暂未拨付至项目单位。</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3、项目竣工结算审计情况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高村镇大比坳村火马坳滑坡送审造价191,104.01元，核定金额172,779.74元、洲上村5组滑坡送审造价60145.96元，核定金额56,564.53元。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吕家坪镇老山冲滑坡送审造价56,955.27元，核定金额47,443.84元。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石羊哨乡石羊哨村1组滑坡送审造价109,269.94元，核定金额104,003.82元。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隆家堡乡黄溪村8组滑坡送审造价120,587.6元，核定金额110,605.57元、三角坳村2组滑坡送审造价157,022.08元，核定金额138,927.37元。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和平溪乡珠宝寨村10组滑坡送审造价61,254.47元，核定金额59,359.85元，和平溪村2组滑坡送审造价122,032.69元，核定金额117,721.37元。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兰村乡兰村村（政府背后）滑坡送审造价198,322.00元，核定金额194,321.93元。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黄桑乡桃花村14组（梓木冲）滑坡送审造价114,542.21元，核定金额100,550.85元、军田村滑坡送审造价54,615.63元，核定金额52,859.99元。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板栗树乡地亭溪村7组滑坡送审造价202,683.98元，核定金额201,320.63元。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岩门镇岩门村8组滑坡送审造价28,996.82元，核定金额28,583.83元；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锦和镇尚坪村1、2组滑坡审造价438,250.24元，核定金额414,829.77元。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4、项目资金的支付情况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截至2023年9月15日，麻阳苗族自治县自然资源局共支付本项目资金224.27万元。其中：支付直接工程费181.26万元，支付核查、设计、演练等费用43.01万元。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left="582" w:leftChars="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5、项目资金的结余情况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截至2023年9月15日，项目资金收入224.2724万元，项目资金支出224.2724万元，麻阳苗族自治县自然资源局无该项目资金结余。</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default" w:ascii="Cambria" w:hAnsi="Cambria" w:eastAsia="楷体_GB2312" w:cs="Times New Roman"/>
          <w:bCs/>
          <w:snapToGrid/>
          <w:kern w:val="2"/>
          <w:sz w:val="32"/>
          <w:szCs w:val="32"/>
          <w:lang w:val="en-US" w:eastAsia="zh-CN" w:bidi="ar-SA"/>
        </w:rPr>
      </w:pPr>
      <w:bookmarkStart w:id="3" w:name="_Toc1909"/>
      <w:r>
        <w:rPr>
          <w:rFonts w:hint="eastAsia" w:ascii="Cambria" w:hAnsi="Cambria" w:eastAsia="楷体_GB2312" w:cs="Times New Roman"/>
          <w:bCs/>
          <w:snapToGrid/>
          <w:kern w:val="2"/>
          <w:sz w:val="32"/>
          <w:szCs w:val="32"/>
          <w:lang w:val="en-US" w:eastAsia="zh-CN" w:bidi="ar-SA"/>
        </w:rPr>
        <w:t>（三） 项目绩效目标和绩效指标</w:t>
      </w:r>
      <w:bookmarkEnd w:id="3"/>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1、绩效目标</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麻阳苗族自治县自然资源局未提供绩效目标申报表，评价小组根据项目单位提供的资料，设定了项目绩效目标为12个乡镇20处滑坡防治。</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2、绩效指标</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产出和效果指标如下:</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数量指标：2023年底完成20处滑坡防治；</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质量指标：竣工验收合格率100%；</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时效指标：项目按期完成及时率100%；</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成本指标：20处滑坡防治总金额</w:t>
      </w:r>
      <w:r>
        <w:rPr>
          <w:rFonts w:hint="default" w:ascii="Arial" w:hAnsi="Arial" w:eastAsia="仿宋" w:cs="Arial"/>
          <w:color w:val="auto"/>
          <w:sz w:val="30"/>
          <w:szCs w:val="30"/>
          <w:highlight w:val="none"/>
          <w:lang w:val="en-US" w:eastAsia="zh-CN"/>
        </w:rPr>
        <w:t>≤</w:t>
      </w:r>
      <w:r>
        <w:rPr>
          <w:rFonts w:hint="eastAsia" w:ascii="仿宋" w:hAnsi="仿宋" w:eastAsia="仿宋" w:cs="仿宋"/>
          <w:color w:val="auto"/>
          <w:sz w:val="30"/>
          <w:szCs w:val="30"/>
          <w:highlight w:val="none"/>
          <w:lang w:val="en-US" w:eastAsia="zh-CN"/>
        </w:rPr>
        <w:t>300万元；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经济效益指标：使人民群众免受地质灾害威胁；</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社会效益指标：消除地质灾害隐患，使人民群众免受地质灾害威胁；</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可持续影响指标：保护受威胁群众生命财产安全；</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满意度指标：受益对象满意度98%。</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麻阳苗族自治县自然资源局没有制定地质灾害防治项目实施方案，本次绩效评价以（湘财建指〔2022〕32号）和（湘财建指〔2022〕58号）设定的相关要求作为评价的基础。</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4" w:name="_Toc9340"/>
      <w:r>
        <w:rPr>
          <w:rFonts w:hint="eastAsia" w:ascii="Calibri" w:hAnsi="Calibri" w:eastAsia="黑体" w:cs="Times New Roman"/>
          <w:bCs/>
          <w:snapToGrid/>
          <w:sz w:val="32"/>
          <w:szCs w:val="44"/>
          <w:lang w:val="en-US" w:eastAsia="zh-CN" w:bidi="ar-SA"/>
        </w:rPr>
        <w:t>二、绩效评价工作情况</w:t>
      </w:r>
      <w:bookmarkEnd w:id="4"/>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5" w:name="_Toc6754"/>
      <w:r>
        <w:rPr>
          <w:rFonts w:hint="eastAsia" w:ascii="Cambria" w:hAnsi="Cambria" w:eastAsia="楷体_GB2312" w:cs="Times New Roman"/>
          <w:bCs/>
          <w:snapToGrid/>
          <w:kern w:val="2"/>
          <w:sz w:val="32"/>
          <w:szCs w:val="32"/>
          <w:lang w:val="en-US" w:eastAsia="zh-CN" w:bidi="ar-SA"/>
        </w:rPr>
        <w:t>（一）绩效评价目的</w:t>
      </w:r>
      <w:bookmarkEnd w:id="5"/>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bookmarkStart w:id="6" w:name="_bookmark7"/>
      <w:bookmarkEnd w:id="6"/>
      <w:r>
        <w:rPr>
          <w:rFonts w:hint="eastAsia" w:ascii="仿宋" w:hAnsi="仿宋" w:eastAsia="仿宋" w:cs="仿宋"/>
          <w:color w:val="auto"/>
          <w:sz w:val="30"/>
          <w:szCs w:val="30"/>
          <w:highlight w:val="none"/>
          <w:lang w:val="en-US" w:eastAsia="zh-CN"/>
        </w:rPr>
        <w:t>通过开展麻阳苗族自治县2022年度地质灾害防治项目绩效评价，全面掌握项目建设资金的使用情况和取得的效果，进一步规范和加强项目资金的管理，提高资金使用效益。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分析项目资金的投入和执行情况，分析项目投入管理和财务管理水平，进一步剖析资金使用的安全性和规范性。</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通过对项目实施过程中的管理措施进行评价，包括项目评审、执行、验收等是否严格按照各项制度执行，分析其有效性。</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分析资金使用的经济性和效率性，重点关注资金使用的聚焦度，为项目后续的资金支出管理提出改进建议。</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7" w:name="_Toc22130"/>
      <w:r>
        <w:rPr>
          <w:rFonts w:hint="eastAsia" w:ascii="Cambria" w:hAnsi="Cambria" w:eastAsia="楷体_GB2312" w:cs="Times New Roman"/>
          <w:bCs/>
          <w:snapToGrid/>
          <w:kern w:val="2"/>
          <w:sz w:val="32"/>
          <w:szCs w:val="32"/>
          <w:lang w:val="en-US" w:eastAsia="zh-CN" w:bidi="ar-SA"/>
        </w:rPr>
        <w:t>（二） 绩效评价工作内容</w:t>
      </w:r>
      <w:bookmarkEnd w:id="7"/>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1、编制绩效评价实施方案</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3" w:firstLine="55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评价小组在完成绩效评价框架的基础上，与</w:t>
      </w:r>
      <w:r>
        <w:rPr>
          <w:rFonts w:hint="eastAsia" w:ascii="仿宋" w:hAnsi="仿宋" w:eastAsia="仿宋" w:cs="仿宋"/>
          <w:color w:val="auto"/>
          <w:sz w:val="30"/>
          <w:szCs w:val="30"/>
          <w:highlight w:val="none"/>
          <w:lang w:val="en-US" w:eastAsia="zh-CN"/>
        </w:rPr>
        <w:t>麻阳苗族自治县自然资源局相关股室</w:t>
      </w:r>
      <w:r>
        <w:rPr>
          <w:rFonts w:hint="eastAsia" w:ascii="仿宋" w:hAnsi="仿宋" w:eastAsia="仿宋" w:cs="仿宋"/>
          <w:color w:val="auto"/>
          <w:sz w:val="30"/>
          <w:szCs w:val="30"/>
          <w:highlight w:val="none"/>
        </w:rPr>
        <w:t>对绩效评价相关事项进行讨论与研究，制定绩效评价方案。绩效评价方案包括绩效评价指标框架及评分标准、评分表填表说明、基础数据统计表、面访、绩效评价资料清单、绩效评</w:t>
      </w:r>
      <w:r>
        <w:rPr>
          <w:rFonts w:hint="eastAsia" w:ascii="仿宋" w:hAnsi="仿宋" w:eastAsia="仿宋" w:cs="仿宋"/>
          <w:color w:val="auto"/>
          <w:w w:val="99"/>
          <w:sz w:val="30"/>
          <w:szCs w:val="30"/>
          <w:highlight w:val="none"/>
        </w:rPr>
        <w:t>价人员安排。同时对评价小组工作计划、工作分配做了详细的安排</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2、组织实施绩效评价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3" w:firstLine="55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评价小组根据制定的绩效评价工作方案，前往</w:t>
      </w:r>
      <w:r>
        <w:rPr>
          <w:rFonts w:hint="eastAsia" w:ascii="仿宋" w:hAnsi="仿宋" w:eastAsia="仿宋" w:cs="仿宋"/>
          <w:color w:val="auto"/>
          <w:sz w:val="30"/>
          <w:szCs w:val="30"/>
          <w:highlight w:val="none"/>
          <w:lang w:val="en-US" w:eastAsia="zh-CN"/>
        </w:rPr>
        <w:t>麻阳苗族自治县自然资源局</w:t>
      </w:r>
      <w:r>
        <w:rPr>
          <w:rFonts w:hint="eastAsia" w:ascii="仿宋" w:hAnsi="仿宋" w:eastAsia="仿宋" w:cs="仿宋"/>
          <w:color w:val="auto"/>
          <w:sz w:val="30"/>
          <w:szCs w:val="30"/>
          <w:highlight w:val="none"/>
        </w:rPr>
        <w:t>具体实施绩效评价，评价工作包括收集审核基础资料，</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在征求被评价单位的意见下，向相关人员了解项目情况，对项目相关工作人员及服务对象进行问卷调查。</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3、分析评价工作</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经过对收集到的资料、调查问卷统计结果进行比对和交叉验证后，确定用于继续分析和评价的证据，采用变化分析，通过比较指标的实际情况与预期数据对应程度，初步确认评价结果。对初步确定的绩效评价结果进行逐级复核、汇总、分析，核查评价工作中是否存在重复和遗漏的情况</w:t>
      </w:r>
      <w:r>
        <w:rPr>
          <w:rFonts w:hint="eastAsia" w:ascii="仿宋" w:hAnsi="仿宋" w:eastAsia="仿宋" w:cs="仿宋"/>
          <w:color w:val="auto"/>
          <w:sz w:val="30"/>
          <w:szCs w:val="30"/>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4、撰写评价报告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评价小组运用科学方法对评价基础资料进行分析总结，将汇总资料反映在绩效评价报告中，并与</w:t>
      </w:r>
      <w:r>
        <w:rPr>
          <w:rFonts w:hint="eastAsia" w:ascii="仿宋" w:hAnsi="仿宋" w:eastAsia="仿宋" w:cs="仿宋"/>
          <w:color w:val="auto"/>
          <w:sz w:val="30"/>
          <w:szCs w:val="30"/>
          <w:highlight w:val="none"/>
          <w:lang w:val="en-US" w:eastAsia="zh-CN"/>
        </w:rPr>
        <w:t>麻阳苗族自治县资源局</w:t>
      </w:r>
      <w:r>
        <w:rPr>
          <w:rFonts w:hint="eastAsia" w:ascii="仿宋" w:hAnsi="仿宋" w:eastAsia="仿宋" w:cs="仿宋"/>
          <w:color w:val="auto"/>
          <w:sz w:val="30"/>
          <w:szCs w:val="30"/>
          <w:highlight w:val="none"/>
        </w:rPr>
        <w:t>反馈沟通，根据反馈意见修改报告。提炼项目实施过程中的主要经验及存在的问题，并针对存在的问题提出相应的建议，形成最终的绩效评价报告。</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8" w:name="_bookmark8"/>
      <w:bookmarkEnd w:id="8"/>
      <w:bookmarkStart w:id="9" w:name="_Toc31464"/>
      <w:r>
        <w:rPr>
          <w:rFonts w:hint="eastAsia" w:ascii="Cambria" w:hAnsi="Cambria" w:eastAsia="楷体_GB2312" w:cs="Times New Roman"/>
          <w:bCs/>
          <w:snapToGrid/>
          <w:kern w:val="2"/>
          <w:sz w:val="32"/>
          <w:szCs w:val="32"/>
          <w:lang w:val="en-US" w:eastAsia="zh-CN" w:bidi="ar-SA"/>
        </w:rPr>
        <w:t>（三） 绩效评价框架</w:t>
      </w:r>
      <w:bookmarkEnd w:id="9"/>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、绩效评价原则</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本次绩效评价，我们遵循科学规范原则、公正公开原则、分级分类原则、绩效相关原则。</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科学规范原则。绩效评价应当严格执行规定的程序，按照科学可行的要求，采用定量与定性分析相结合的方法。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公正公开原则。绩效评价应当符合真实、客观、公正的要求，依法公开并接受监督。</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分级分类原则。绩效评价由各级财政部门、各预算部门根据评价对象的特点分类组织实施。</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绩效相关原则。绩效评价应当针对具体支出及产出绩效进行，评价结果应当清晰反映支出和产出绩效之间的紧密对应关系。</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、评价依据</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1）《中华人民共和国预算法》（2014年修正）；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2）《财政部关于印发项目支出绩效评价管理办法的通知》（财预[2020]10号）；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3）《中共湖南省委办公厅 湖南省人民政府办公厅关于全面实施预算绩效管理的实施意见》（湘办发〔2019〕10号）；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4）《湖南省预算支出绩效评价管理办法》(湘财绩[2020]7号)；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5）《湖南省财政厅关于进一步规范绩效评价管理有关事项的通知》（湘财绩[2021]4号）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6）《麻阳苗族自治县财政局关于开展2022年度财政预算支出重点项目绩效评价工作的通知》（麻财绩〔2023〕5号）。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、评价指标体系</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《麻阳苗族自治县财政局关于开展2022年度财政预算支出重点项目绩效评价工作的通知》（麻财绩〔2023〕5号）的要求，</w:t>
      </w:r>
      <w:r>
        <w:rPr>
          <w:rFonts w:hint="eastAsia" w:ascii="仿宋" w:hAnsi="仿宋" w:eastAsia="仿宋" w:cs="仿宋"/>
          <w:color w:val="auto"/>
          <w:sz w:val="30"/>
          <w:szCs w:val="30"/>
          <w:highlight w:val="none"/>
        </w:rPr>
        <w:t>并结合本项目的具体情况，</w:t>
      </w:r>
      <w:r>
        <w:rPr>
          <w:rFonts w:hint="eastAsia" w:ascii="仿宋" w:hAnsi="仿宋" w:eastAsia="仿宋" w:cs="仿宋"/>
          <w:color w:val="auto"/>
          <w:sz w:val="30"/>
          <w:szCs w:val="30"/>
          <w:highlight w:val="none"/>
          <w:lang w:val="en-US" w:eastAsia="zh-CN"/>
        </w:rPr>
        <w:t>评价小组</w:t>
      </w:r>
      <w:r>
        <w:rPr>
          <w:rFonts w:hint="eastAsia" w:ascii="仿宋" w:hAnsi="仿宋" w:eastAsia="仿宋" w:cs="仿宋"/>
          <w:color w:val="auto"/>
          <w:sz w:val="30"/>
          <w:szCs w:val="30"/>
          <w:highlight w:val="none"/>
        </w:rPr>
        <w:t>设计</w:t>
      </w:r>
      <w:r>
        <w:rPr>
          <w:rFonts w:hint="eastAsia" w:ascii="仿宋" w:hAnsi="仿宋" w:eastAsia="仿宋" w:cs="仿宋"/>
          <w:color w:val="auto"/>
          <w:sz w:val="30"/>
          <w:szCs w:val="30"/>
          <w:highlight w:val="none"/>
          <w:lang w:val="en-US" w:eastAsia="zh-CN"/>
        </w:rPr>
        <w:t>了麻阳苗族自治县2022年度地质灾害防治项目</w:t>
      </w:r>
      <w:r>
        <w:rPr>
          <w:rFonts w:hint="eastAsia" w:ascii="仿宋" w:hAnsi="仿宋" w:eastAsia="仿宋" w:cs="仿宋"/>
          <w:color w:val="auto"/>
          <w:sz w:val="30"/>
          <w:szCs w:val="30"/>
          <w:highlight w:val="none"/>
        </w:rPr>
        <w:t>绩效评价指标体系，从</w:t>
      </w:r>
      <w:r>
        <w:rPr>
          <w:rFonts w:hint="eastAsia" w:ascii="仿宋" w:hAnsi="仿宋" w:eastAsia="仿宋" w:cs="仿宋"/>
          <w:color w:val="auto"/>
          <w:sz w:val="30"/>
          <w:szCs w:val="30"/>
          <w:highlight w:val="none"/>
          <w:lang w:val="en-US" w:eastAsia="zh-CN"/>
        </w:rPr>
        <w:t>决策</w:t>
      </w:r>
      <w:r>
        <w:rPr>
          <w:rFonts w:hint="eastAsia" w:ascii="仿宋" w:hAnsi="仿宋" w:eastAsia="仿宋" w:cs="仿宋"/>
          <w:color w:val="auto"/>
          <w:sz w:val="30"/>
          <w:szCs w:val="30"/>
          <w:highlight w:val="none"/>
        </w:rPr>
        <w:t>、过程、产出、效果四个维度，采用了1</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个子类指标，设计了</w:t>
      </w:r>
      <w:r>
        <w:rPr>
          <w:rFonts w:hint="eastAsia" w:ascii="仿宋" w:hAnsi="仿宋" w:eastAsia="仿宋" w:cs="仿宋"/>
          <w:color w:val="auto"/>
          <w:sz w:val="30"/>
          <w:szCs w:val="30"/>
          <w:highlight w:val="none"/>
          <w:lang w:val="en-US" w:eastAsia="zh-CN"/>
        </w:rPr>
        <w:t>18</w:t>
      </w:r>
      <w:r>
        <w:rPr>
          <w:rFonts w:hint="eastAsia" w:ascii="仿宋" w:hAnsi="仿宋" w:eastAsia="仿宋" w:cs="仿宋"/>
          <w:color w:val="auto"/>
          <w:sz w:val="30"/>
          <w:szCs w:val="30"/>
          <w:highlight w:val="none"/>
        </w:rPr>
        <w:t>个具体指标，对</w:t>
      </w:r>
      <w:r>
        <w:rPr>
          <w:rFonts w:hint="eastAsia" w:ascii="仿宋" w:hAnsi="仿宋" w:eastAsia="仿宋" w:cs="仿宋"/>
          <w:color w:val="auto"/>
          <w:sz w:val="30"/>
          <w:szCs w:val="30"/>
          <w:highlight w:val="none"/>
          <w:lang w:val="en-US" w:eastAsia="zh-CN"/>
        </w:rPr>
        <w:t>麻阳苗族自治县2022年度地质灾害防治项目</w:t>
      </w:r>
      <w:r>
        <w:rPr>
          <w:rFonts w:hint="eastAsia" w:ascii="仿宋" w:hAnsi="仿宋" w:eastAsia="仿宋" w:cs="仿宋"/>
          <w:color w:val="auto"/>
          <w:sz w:val="30"/>
          <w:szCs w:val="30"/>
          <w:highlight w:val="none"/>
        </w:rPr>
        <w:t>进行综合评价</w:t>
      </w:r>
      <w:r>
        <w:rPr>
          <w:rFonts w:hint="eastAsia" w:ascii="仿宋" w:hAnsi="仿宋" w:eastAsia="仿宋" w:cs="仿宋"/>
          <w:color w:val="auto"/>
          <w:sz w:val="30"/>
          <w:szCs w:val="30"/>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麻阳苗族自治县2022年度地质灾害防治项目</w:t>
      </w:r>
      <w:r>
        <w:rPr>
          <w:rFonts w:hint="eastAsia" w:ascii="仿宋" w:hAnsi="仿宋" w:eastAsia="仿宋" w:cs="仿宋"/>
          <w:color w:val="auto"/>
          <w:sz w:val="30"/>
          <w:szCs w:val="30"/>
          <w:highlight w:val="none"/>
        </w:rPr>
        <w:t>绩效评价指标体系</w:t>
      </w:r>
      <w:r>
        <w:rPr>
          <w:rFonts w:hint="eastAsia" w:ascii="仿宋" w:hAnsi="仿宋" w:eastAsia="仿宋" w:cs="仿宋"/>
          <w:color w:val="auto"/>
          <w:sz w:val="30"/>
          <w:szCs w:val="30"/>
          <w:highlight w:val="none"/>
          <w:lang w:eastAsia="zh-CN"/>
        </w:rPr>
        <w:t>详见</w:t>
      </w:r>
      <w:r>
        <w:rPr>
          <w:rFonts w:hint="eastAsia" w:ascii="仿宋" w:hAnsi="仿宋" w:eastAsia="仿宋" w:cs="仿宋"/>
          <w:color w:val="auto"/>
          <w:sz w:val="30"/>
          <w:szCs w:val="30"/>
          <w:highlight w:val="none"/>
          <w:lang w:val="en-US" w:eastAsia="zh-CN"/>
        </w:rPr>
        <w:t>附件。</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、绩效评价方法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评价方法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本次绩效评价主要采用的评价方法包括成本效益分析法、比较法、因素分析法、公众评判法等。</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成本效益分析法。是指将一定时期内的支出与效益进行对比分析以 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2）比较法。是指通过对绩效目标与实施效果、历史与当期情况、不同部门和地区同类支出的比较，综合分析绩效目标实现程度。</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 因素分析法。是指通过综合分析影响绩效目标实现、实施效果的内外因素，评价绩效目标实现程度。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 公众评判法。是指通过专家评估、公众问卷及抽样调查等对财政支出效果进行评判，评价绩效目标实现程度。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 调查方法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本项目采用抽样调查的方式。本次评价小组共回收</w:t>
      </w:r>
      <w:r>
        <w:rPr>
          <w:rFonts w:hint="eastAsia" w:ascii="仿宋" w:hAnsi="仿宋" w:eastAsia="仿宋" w:cs="仿宋"/>
          <w:color w:val="auto"/>
          <w:sz w:val="30"/>
          <w:szCs w:val="30"/>
          <w:highlight w:val="none"/>
          <w:lang w:val="en-US" w:eastAsia="zh-CN"/>
        </w:rPr>
        <w:t>调查问卷50份</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 评分方法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根据以上方法对评价指标采用百分制打分后，对绩效评价结果采取评 分与评级相结合的形式，确定绩效评价结果类型分为：优、 良、中、差四个等级；其中优≥90 分；90 分＞良≥80 分；80 分＞</w:t>
      </w:r>
      <w:r>
        <w:rPr>
          <w:rFonts w:hint="eastAsia" w:ascii="仿宋" w:hAnsi="仿宋" w:eastAsia="仿宋" w:cs="仿宋"/>
          <w:color w:val="auto"/>
          <w:sz w:val="30"/>
          <w:szCs w:val="30"/>
          <w:highlight w:val="none"/>
          <w:lang w:eastAsia="zh-CN"/>
        </w:rPr>
        <w:t>较差</w:t>
      </w:r>
      <w:r>
        <w:rPr>
          <w:rFonts w:hint="eastAsia" w:ascii="仿宋" w:hAnsi="仿宋" w:eastAsia="仿宋" w:cs="仿宋"/>
          <w:color w:val="auto"/>
          <w:sz w:val="30"/>
          <w:szCs w:val="30"/>
          <w:highlight w:val="none"/>
        </w:rPr>
        <w:t>≥60 分；差&lt;60 分。 最终确定绩效评价结果类型和评价结果级别。</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0" w:name="_bookmark9"/>
      <w:bookmarkEnd w:id="10"/>
      <w:bookmarkStart w:id="11" w:name="_Toc11718"/>
      <w:r>
        <w:rPr>
          <w:rFonts w:hint="eastAsia" w:ascii="Cambria" w:hAnsi="Cambria" w:eastAsia="楷体_GB2312" w:cs="Times New Roman"/>
          <w:bCs/>
          <w:snapToGrid/>
          <w:kern w:val="2"/>
          <w:sz w:val="32"/>
          <w:szCs w:val="32"/>
          <w:lang w:val="en-US" w:eastAsia="zh-CN" w:bidi="ar-SA"/>
        </w:rPr>
        <w:t>（四） 证据收集方式</w:t>
      </w:r>
      <w:bookmarkEnd w:id="1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本项目采用的证据收集方法包括：案卷研究、案例研究、面访、问卷调查、实地调研等。</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本项目评价小组走访了</w:t>
      </w:r>
      <w:r>
        <w:rPr>
          <w:rFonts w:hint="eastAsia" w:ascii="仿宋" w:hAnsi="仿宋" w:eastAsia="仿宋" w:cs="仿宋"/>
          <w:color w:val="auto"/>
          <w:sz w:val="30"/>
          <w:szCs w:val="30"/>
          <w:highlight w:val="none"/>
          <w:lang w:val="en-US" w:eastAsia="zh-CN"/>
        </w:rPr>
        <w:t>麻阳苗族自治县自然资源局、项目实施地所在的乡村</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实地通过案卷研究、案例研究、面访收集并验证评价信息资料。根据了解的项目情况设计绩效评价工作方案、指标体系，并针对</w:t>
      </w:r>
      <w:r>
        <w:rPr>
          <w:rFonts w:hint="eastAsia" w:ascii="仿宋" w:hAnsi="仿宋" w:eastAsia="仿宋" w:cs="仿宋"/>
          <w:color w:val="auto"/>
          <w:sz w:val="30"/>
          <w:szCs w:val="30"/>
          <w:highlight w:val="none"/>
          <w:lang w:val="en-US" w:eastAsia="zh-CN"/>
        </w:rPr>
        <w:t>社会公众</w:t>
      </w:r>
      <w:r>
        <w:rPr>
          <w:rFonts w:hint="eastAsia" w:ascii="仿宋" w:hAnsi="仿宋" w:eastAsia="仿宋" w:cs="仿宋"/>
          <w:color w:val="auto"/>
          <w:sz w:val="30"/>
          <w:szCs w:val="30"/>
          <w:highlight w:val="none"/>
        </w:rPr>
        <w:t>设计调研问卷，通过问卷调查方式，对</w:t>
      </w:r>
      <w:r>
        <w:rPr>
          <w:rFonts w:hint="eastAsia" w:ascii="仿宋" w:hAnsi="仿宋" w:eastAsia="仿宋" w:cs="仿宋"/>
          <w:color w:val="auto"/>
          <w:sz w:val="30"/>
          <w:szCs w:val="30"/>
          <w:highlight w:val="none"/>
          <w:lang w:val="en-US" w:eastAsia="zh-CN"/>
        </w:rPr>
        <w:t>受益群众</w:t>
      </w:r>
      <w:r>
        <w:rPr>
          <w:rFonts w:hint="eastAsia" w:ascii="仿宋" w:hAnsi="仿宋" w:eastAsia="仿宋" w:cs="仿宋"/>
          <w:color w:val="auto"/>
          <w:sz w:val="30"/>
          <w:szCs w:val="30"/>
          <w:highlight w:val="none"/>
        </w:rPr>
        <w:t>进行问卷调研</w:t>
      </w:r>
      <w:r>
        <w:rPr>
          <w:rFonts w:hint="eastAsia" w:ascii="仿宋" w:hAnsi="仿宋" w:eastAsia="仿宋" w:cs="仿宋"/>
          <w:color w:val="auto"/>
          <w:sz w:val="30"/>
          <w:szCs w:val="30"/>
          <w:highlight w:val="none"/>
          <w:lang w:eastAsia="zh-CN"/>
        </w:rPr>
        <w:t>。</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12" w:name="_Toc30167"/>
      <w:r>
        <w:rPr>
          <w:rFonts w:hint="eastAsia" w:ascii="Calibri" w:hAnsi="Calibri" w:eastAsia="黑体" w:cs="Times New Roman"/>
          <w:bCs/>
          <w:snapToGrid/>
          <w:sz w:val="32"/>
          <w:szCs w:val="44"/>
          <w:lang w:val="en-US" w:eastAsia="zh-CN" w:bidi="ar-SA"/>
        </w:rPr>
        <w:t>三、绩效评价分析</w:t>
      </w:r>
      <w:bookmarkEnd w:id="12"/>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3" w:name="_Toc30546"/>
      <w:r>
        <w:rPr>
          <w:rFonts w:hint="eastAsia" w:ascii="Cambria" w:hAnsi="Cambria" w:eastAsia="楷体_GB2312" w:cs="Times New Roman"/>
          <w:bCs/>
          <w:snapToGrid/>
          <w:kern w:val="2"/>
          <w:sz w:val="32"/>
          <w:szCs w:val="32"/>
          <w:lang w:val="en-US" w:eastAsia="zh-CN" w:bidi="ar-SA"/>
        </w:rPr>
        <w:t>（一） 决策</w:t>
      </w:r>
      <w:bookmarkEnd w:id="13"/>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决策</w:t>
      </w:r>
      <w:r>
        <w:rPr>
          <w:rFonts w:hint="eastAsia" w:ascii="仿宋" w:hAnsi="仿宋" w:eastAsia="仿宋" w:cs="仿宋"/>
          <w:color w:val="auto"/>
          <w:sz w:val="30"/>
          <w:szCs w:val="30"/>
          <w:highlight w:val="none"/>
        </w:rPr>
        <w:t xml:space="preserve">评价总分 </w:t>
      </w: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 xml:space="preserve">8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1、项目立项（满分 </w:t>
      </w: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 xml:space="preserve"> 3</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立项</w:t>
      </w:r>
      <w:r>
        <w:rPr>
          <w:rFonts w:hint="eastAsia" w:ascii="仿宋" w:hAnsi="仿宋" w:eastAsia="仿宋" w:cs="仿宋"/>
          <w:color w:val="auto"/>
          <w:sz w:val="30"/>
          <w:szCs w:val="30"/>
          <w:highlight w:val="none"/>
          <w:lang w:val="en-US" w:eastAsia="zh-CN"/>
        </w:rPr>
        <w:t>依据充分性</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lang w:val="en-US" w:eastAsia="zh-CN"/>
        </w:rPr>
        <w:t>根据（湘财建指〔2022〕32号）和（湘财建指〔2022〕58号）立项，提供文件为湘财资环指【2022】62号，与立项文件不一致，依据评分标准，扣1分，得1分；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（2）立项程序规范性：</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分</w:t>
      </w:r>
      <w:r>
        <w:rPr>
          <w:rFonts w:hint="eastAsia" w:ascii="仿宋" w:hAnsi="仿宋" w:eastAsia="仿宋" w:cs="仿宋"/>
          <w:color w:val="auto"/>
          <w:sz w:val="30"/>
          <w:szCs w:val="30"/>
          <w:highlight w:val="none"/>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项目按照规定的程序申请设立，依据评分标准，无扣</w:t>
      </w:r>
      <w:r>
        <w:rPr>
          <w:rFonts w:hint="eastAsia" w:ascii="仿宋" w:hAnsi="仿宋" w:eastAsia="仿宋" w:cs="仿宋"/>
          <w:color w:val="auto"/>
          <w:sz w:val="30"/>
          <w:szCs w:val="30"/>
          <w:highlight w:val="none"/>
        </w:rPr>
        <w:t>分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2.绩效目标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 xml:space="preserve">） 绩效目标合理性：满分 </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lang w:val="en-US" w:eastAsia="zh-CN"/>
        </w:rPr>
        <w:t>麻阳苗族自治县自然资源局未制定该项目绩效目标，依评分标准此项扣3分，得0分。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绩效指标明确性：满分 3 分，</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麻阳苗族自治县自然资源局未制定该项目绩效目标，依据评分标准此项扣3分，得0分。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资金投入</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预算编制</w:t>
      </w:r>
      <w:r>
        <w:rPr>
          <w:rFonts w:hint="eastAsia" w:ascii="仿宋" w:hAnsi="仿宋" w:eastAsia="仿宋" w:cs="仿宋"/>
          <w:color w:val="auto"/>
          <w:sz w:val="30"/>
          <w:szCs w:val="30"/>
          <w:highlight w:val="none"/>
          <w:lang w:val="en-US" w:eastAsia="zh-CN"/>
        </w:rPr>
        <w:t>科学</w:t>
      </w:r>
      <w:r>
        <w:rPr>
          <w:rFonts w:hint="eastAsia" w:ascii="仿宋" w:hAnsi="仿宋" w:eastAsia="仿宋" w:cs="仿宋"/>
          <w:color w:val="auto"/>
          <w:sz w:val="30"/>
          <w:szCs w:val="30"/>
          <w:highlight w:val="none"/>
        </w:rPr>
        <w:t xml:space="preserve">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pacing w:val="-20"/>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麻阳苗族自治县自然资源局按财政拨付金额支付项目资金，依据评分标准无扣分，得5分。</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4" w:name="_Toc12999"/>
      <w:r>
        <w:rPr>
          <w:rFonts w:hint="eastAsia" w:ascii="Cambria" w:hAnsi="Cambria" w:eastAsia="楷体_GB2312" w:cs="Times New Roman"/>
          <w:bCs/>
          <w:snapToGrid/>
          <w:kern w:val="2"/>
          <w:sz w:val="32"/>
          <w:szCs w:val="32"/>
          <w:lang w:val="en-US" w:eastAsia="zh-CN" w:bidi="ar-SA"/>
        </w:rPr>
        <w:t>（二） 过程</w:t>
      </w:r>
      <w:bookmarkEnd w:id="14"/>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过程</w:t>
      </w:r>
      <w:r>
        <w:rPr>
          <w:rFonts w:hint="eastAsia" w:ascii="仿宋" w:hAnsi="仿宋" w:eastAsia="仿宋" w:cs="仿宋"/>
          <w:color w:val="auto"/>
          <w:sz w:val="30"/>
          <w:szCs w:val="30"/>
          <w:highlight w:val="none"/>
        </w:rPr>
        <w:t xml:space="preserve">评价总分 </w:t>
      </w:r>
      <w:r>
        <w:rPr>
          <w:rFonts w:hint="eastAsia" w:ascii="仿宋" w:hAnsi="仿宋" w:eastAsia="仿宋" w:cs="仿宋"/>
          <w:color w:val="auto"/>
          <w:sz w:val="30"/>
          <w:szCs w:val="30"/>
          <w:highlight w:val="none"/>
          <w:lang w:val="en-US" w:eastAsia="zh-CN"/>
        </w:rPr>
        <w:t>25</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20</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1、资金管理</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13</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资金到位</w:t>
      </w:r>
      <w:r>
        <w:rPr>
          <w:rFonts w:hint="eastAsia" w:ascii="仿宋" w:hAnsi="仿宋" w:eastAsia="仿宋" w:cs="仿宋"/>
          <w:color w:val="auto"/>
          <w:sz w:val="30"/>
          <w:szCs w:val="30"/>
          <w:highlight w:val="none"/>
          <w:lang w:val="en-US" w:eastAsia="zh-CN"/>
        </w:rPr>
        <w:t>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麻阳苗族自治县自然资源局</w:t>
      </w:r>
      <w:r>
        <w:rPr>
          <w:rFonts w:hint="eastAsia" w:ascii="仿宋" w:hAnsi="仿宋" w:eastAsia="仿宋" w:cs="仿宋"/>
          <w:color w:val="auto"/>
          <w:sz w:val="30"/>
          <w:szCs w:val="30"/>
          <w:highlight w:val="none"/>
        </w:rPr>
        <w:t>提供的</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绩效评价自查报告</w:t>
      </w:r>
      <w:r>
        <w:rPr>
          <w:rFonts w:hint="eastAsia" w:ascii="仿宋" w:hAnsi="仿宋" w:eastAsia="仿宋" w:cs="仿宋"/>
          <w:color w:val="auto"/>
          <w:sz w:val="30"/>
          <w:szCs w:val="30"/>
          <w:highlight w:val="none"/>
          <w:lang w:eastAsia="zh-CN"/>
        </w:rPr>
        <w:t>”截至2023年</w:t>
      </w:r>
      <w:r>
        <w:rPr>
          <w:rFonts w:hint="eastAsia" w:ascii="仿宋" w:hAnsi="仿宋" w:eastAsia="仿宋" w:cs="仿宋"/>
          <w:color w:val="auto"/>
          <w:sz w:val="30"/>
          <w:szCs w:val="30"/>
          <w:highlight w:val="none"/>
          <w:lang w:val="en-US" w:eastAsia="zh-CN"/>
        </w:rPr>
        <w:t>9月15日，麻阳苗族自治县2022年度地质灾害防治项目资金实际到位224.2724万元</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资金到位率74.76%。依据评分标准扣2分</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预算执行率：满分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 xml:space="preserve"> 5 </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截至2023年9月15日，麻阳苗族自治县2022年度地质灾害防治项目实际收到项目资金224.2724万元，实际支付资金224.2724万元，预算执行率100%。依据评分标准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）资金使用合规性：满分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资金使用符合国家财经法规和财务管理制度的规定；资金的拨付有完整的审批程序和手续</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未发现</w:t>
      </w:r>
      <w:r>
        <w:rPr>
          <w:rFonts w:hint="eastAsia" w:ascii="仿宋" w:hAnsi="仿宋" w:eastAsia="仿宋" w:cs="仿宋"/>
          <w:color w:val="auto"/>
          <w:sz w:val="30"/>
          <w:szCs w:val="30"/>
          <w:highlight w:val="none"/>
        </w:rPr>
        <w:t>截留、挤占、挪用、虚列支出等情况</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依据评分标准无扣分，</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bookmarkStart w:id="15" w:name="_bookmark12"/>
      <w:bookmarkEnd w:id="15"/>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组织实施</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10 </w:t>
      </w:r>
      <w:r>
        <w:rPr>
          <w:rFonts w:hint="eastAsia" w:ascii="仿宋" w:hAnsi="仿宋" w:eastAsia="仿宋" w:cs="仿宋"/>
          <w:color w:val="auto"/>
          <w:sz w:val="30"/>
          <w:szCs w:val="30"/>
          <w:highlight w:val="none"/>
        </w:rPr>
        <w:t>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（1）管理制度健全性：满分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yellow"/>
        </w:rPr>
      </w:pPr>
      <w:r>
        <w:rPr>
          <w:rFonts w:hint="eastAsia" w:ascii="仿宋" w:hAnsi="仿宋" w:eastAsia="仿宋" w:cs="仿宋"/>
          <w:color w:val="auto"/>
          <w:sz w:val="30"/>
          <w:szCs w:val="30"/>
          <w:highlight w:val="none"/>
          <w:lang w:val="en-US" w:eastAsia="zh-CN"/>
        </w:rPr>
        <w:t>麻阳苗族自治县自然资源局仅提供了财务管理制度、专项资金管理制度，管理制度不健全，依据评分标准扣2</w:t>
      </w:r>
      <w:r>
        <w:rPr>
          <w:rFonts w:hint="eastAsia" w:ascii="仿宋" w:hAnsi="仿宋" w:eastAsia="仿宋" w:cs="仿宋"/>
          <w:color w:val="auto"/>
          <w:sz w:val="30"/>
          <w:szCs w:val="30"/>
          <w:highlight w:val="none"/>
        </w:rPr>
        <w:t>分</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 xml:space="preserve"> 得3分</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300" w:firstLineChars="10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（2）制度执行有效性：满分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根据评价小组现场核查和对项目实施单位提交的资料，进行整理分析发现制度执行情况，麻阳苗族自治县自然资源局严格执行项目管理施工、验收、送审流程，但合同管理情况一般，依据评分标准，此项扣1分，得4分</w:t>
      </w:r>
      <w:r>
        <w:rPr>
          <w:rFonts w:hint="eastAsia" w:ascii="仿宋" w:hAnsi="仿宋" w:eastAsia="仿宋" w:cs="仿宋"/>
          <w:color w:val="auto"/>
          <w:sz w:val="30"/>
          <w:szCs w:val="30"/>
          <w:highlight w:val="none"/>
        </w:rPr>
        <w:t xml:space="preserve"> 。</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6" w:name="_bookmark13"/>
      <w:bookmarkEnd w:id="16"/>
      <w:bookmarkStart w:id="17" w:name="_Toc6636"/>
      <w:r>
        <w:rPr>
          <w:rFonts w:hint="eastAsia" w:ascii="Cambria" w:hAnsi="Cambria" w:eastAsia="楷体_GB2312" w:cs="Times New Roman"/>
          <w:bCs/>
          <w:snapToGrid/>
          <w:kern w:val="2"/>
          <w:sz w:val="32"/>
          <w:szCs w:val="32"/>
          <w:lang w:val="en-US" w:eastAsia="zh-CN" w:bidi="ar-SA"/>
        </w:rPr>
        <w:t>（三） 产出</w:t>
      </w:r>
      <w:bookmarkEnd w:id="17"/>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，产出</w:t>
      </w:r>
      <w:r>
        <w:rPr>
          <w:rFonts w:hint="eastAsia" w:ascii="仿宋" w:hAnsi="仿宋" w:eastAsia="仿宋" w:cs="仿宋"/>
          <w:color w:val="auto"/>
          <w:sz w:val="30"/>
          <w:szCs w:val="30"/>
          <w:highlight w:val="none"/>
          <w:lang w:val="en-US" w:eastAsia="zh-CN"/>
        </w:rPr>
        <w:t>评价总分 35 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33</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1、成本指标（满分 10 分，得 10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成本节约率：满分 10 分，得 10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自然资源局提供的资料，截至2023年9月15日，麻阳苗族自治县2022年度地质灾害防治项目已全面完工，并经审计核定工程价款216.03万元，已支付工程款181.26万元，尚欠工程款34.77万元，未超项目成本，依评分标准，得 10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、数量指标（满分</w:t>
      </w:r>
      <w:r>
        <w:rPr>
          <w:rFonts w:hint="eastAsia" w:ascii="仿宋" w:hAnsi="仿宋" w:eastAsia="仿宋" w:cs="仿宋"/>
          <w:color w:val="auto"/>
          <w:sz w:val="30"/>
          <w:szCs w:val="30"/>
          <w:highlight w:val="none"/>
          <w:lang w:val="en-US" w:eastAsia="zh-CN"/>
        </w:rPr>
        <w:t xml:space="preserve"> 10 </w:t>
      </w:r>
      <w:r>
        <w:rPr>
          <w:rFonts w:hint="eastAsia" w:ascii="仿宋" w:hAnsi="仿宋" w:eastAsia="仿宋" w:cs="仿宋"/>
          <w:color w:val="auto"/>
          <w:sz w:val="30"/>
          <w:szCs w:val="30"/>
          <w:highlight w:val="none"/>
        </w:rPr>
        <w:t>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 xml:space="preserve">10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实际完成率：满分 10 分，得 10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根据麻阳苗族自治县自然资源局提供的资料，麻阳苗族自治县2022年度地质灾害防治项目已全面完工。依据评分标准此项无扣分，得 10分。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3、质量指标（满分 8 分，得6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质量达标率：满分 8 分，得 6分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麻阳苗族自治县自然资源局以“政府采购合同协议书”代替“施工合同”，没有施工内容、质量要求等必要的合同条款。更没有工程监理，工程质量很难得到保证。依据评分标准此项扣 4 分，得 4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、时效指标（满分</w:t>
      </w:r>
      <w:r>
        <w:rPr>
          <w:rFonts w:hint="eastAsia" w:ascii="仿宋" w:hAnsi="仿宋" w:eastAsia="仿宋" w:cs="仿宋"/>
          <w:color w:val="auto"/>
          <w:sz w:val="30"/>
          <w:szCs w:val="30"/>
          <w:highlight w:val="none"/>
          <w:lang w:val="en-US" w:eastAsia="zh-CN"/>
        </w:rPr>
        <w:t xml:space="preserve"> 7</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完成及时性：满分 7 分，得7分 </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根据麻阳苗族自治县自然资源局提供的资料，截至2023年9月15日，麻阳苗族自治县2022年度地质灾害防治项目已全面完工。依据评分标准此项无扣分，得 7分。        </w:t>
      </w:r>
      <w:r>
        <w:rPr>
          <w:rFonts w:hint="eastAsia" w:ascii="仿宋" w:hAnsi="仿宋" w:eastAsia="仿宋" w:cs="仿宋"/>
          <w:color w:val="auto"/>
          <w:sz w:val="30"/>
          <w:szCs w:val="30"/>
          <w:highlight w:val="none"/>
        </w:rPr>
        <w:t xml:space="preserve">         </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8" w:name="_bookmark14"/>
      <w:bookmarkEnd w:id="18"/>
      <w:bookmarkStart w:id="19" w:name="_Toc19557"/>
      <w:r>
        <w:rPr>
          <w:rFonts w:hint="eastAsia" w:ascii="Cambria" w:hAnsi="Cambria" w:eastAsia="楷体_GB2312" w:cs="Times New Roman"/>
          <w:bCs/>
          <w:snapToGrid/>
          <w:kern w:val="2"/>
          <w:sz w:val="32"/>
          <w:szCs w:val="32"/>
          <w:lang w:val="en-US" w:eastAsia="zh-CN" w:bidi="ar-SA"/>
        </w:rPr>
        <w:t>（四） 效益</w:t>
      </w:r>
      <w:bookmarkEnd w:id="19"/>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根据评</w:t>
      </w:r>
      <w:r>
        <w:rPr>
          <w:rFonts w:hint="eastAsia" w:ascii="仿宋" w:hAnsi="仿宋" w:eastAsia="仿宋" w:cs="仿宋"/>
          <w:color w:val="auto"/>
          <w:sz w:val="30"/>
          <w:szCs w:val="30"/>
          <w:highlight w:val="none"/>
          <w:lang w:val="en-US" w:eastAsia="zh-CN"/>
        </w:rPr>
        <w:t>分标准</w:t>
      </w:r>
      <w:r>
        <w:rPr>
          <w:rFonts w:hint="eastAsia" w:ascii="仿宋" w:hAnsi="仿宋" w:eastAsia="仿宋" w:cs="仿宋"/>
          <w:color w:val="auto"/>
          <w:sz w:val="30"/>
          <w:szCs w:val="30"/>
          <w:highlight w:val="none"/>
        </w:rPr>
        <w:t>，效</w:t>
      </w:r>
      <w:r>
        <w:rPr>
          <w:rFonts w:hint="eastAsia" w:ascii="仿宋" w:hAnsi="仿宋" w:eastAsia="仿宋" w:cs="仿宋"/>
          <w:color w:val="auto"/>
          <w:sz w:val="30"/>
          <w:szCs w:val="30"/>
          <w:highlight w:val="none"/>
          <w:lang w:eastAsia="zh-CN"/>
        </w:rPr>
        <w:t>益</w:t>
      </w:r>
      <w:r>
        <w:rPr>
          <w:rFonts w:hint="eastAsia" w:ascii="仿宋" w:hAnsi="仿宋" w:eastAsia="仿宋" w:cs="仿宋"/>
          <w:color w:val="auto"/>
          <w:sz w:val="30"/>
          <w:szCs w:val="30"/>
          <w:highlight w:val="none"/>
        </w:rPr>
        <w:t>评价</w:t>
      </w:r>
      <w:r>
        <w:rPr>
          <w:rFonts w:hint="eastAsia" w:ascii="仿宋" w:hAnsi="仿宋" w:eastAsia="仿宋" w:cs="仿宋"/>
          <w:color w:val="auto"/>
          <w:sz w:val="30"/>
          <w:szCs w:val="30"/>
          <w:highlight w:val="none"/>
          <w:lang w:val="en-US" w:eastAsia="zh-CN"/>
        </w:rPr>
        <w:t>总分 25 分，</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 xml:space="preserve"> 25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1、经济效益指标：</w:t>
      </w:r>
      <w:r>
        <w:rPr>
          <w:rFonts w:hint="eastAsia" w:ascii="仿宋" w:hAnsi="仿宋" w:eastAsia="仿宋" w:cs="仿宋"/>
          <w:color w:val="auto"/>
          <w:sz w:val="30"/>
          <w:szCs w:val="30"/>
          <w:highlight w:val="none"/>
        </w:rPr>
        <w:t>（满分</w:t>
      </w:r>
      <w:r>
        <w:rPr>
          <w:rFonts w:hint="eastAsia" w:ascii="仿宋" w:hAnsi="仿宋" w:eastAsia="仿宋" w:cs="仿宋"/>
          <w:color w:val="auto"/>
          <w:sz w:val="30"/>
          <w:szCs w:val="30"/>
          <w:highlight w:val="none"/>
          <w:lang w:val="en-US" w:eastAsia="zh-CN"/>
        </w:rPr>
        <w:t xml:space="preserve"> 6</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通过项目实施消除了地质灾害隐患，保护受灾害威胁群众生命财产安全；根据麻阳苗族自治县2022年地质灾害防治项目资金安排表，对12个乡镇20处滑坡进行防治，已全面完工。依据评分标准此项无扣分，得 6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、社会效益</w:t>
      </w:r>
      <w:r>
        <w:rPr>
          <w:rFonts w:hint="eastAsia" w:ascii="仿宋" w:hAnsi="仿宋" w:eastAsia="仿宋" w:cs="仿宋"/>
          <w:color w:val="auto"/>
          <w:sz w:val="30"/>
          <w:szCs w:val="30"/>
          <w:highlight w:val="none"/>
          <w:lang w:val="en-US" w:eastAsia="zh-CN"/>
        </w:rPr>
        <w:t>指标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根据麻阳苗族自治县2022年地质灾害防治项目资金安排表，对12个乡镇20处滑坡进行防治，已全面完工，消除了地质灾害隐患，保护受灾害威胁群众生命财产安全。依据评分标准此项无扣分，得 6分。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可持续影响指标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7 </w:t>
      </w:r>
      <w:r>
        <w:rPr>
          <w:rFonts w:hint="eastAsia" w:ascii="仿宋" w:hAnsi="仿宋" w:eastAsia="仿宋" w:cs="仿宋"/>
          <w:color w:val="auto"/>
          <w:sz w:val="30"/>
          <w:szCs w:val="30"/>
          <w:highlight w:val="none"/>
        </w:rPr>
        <w:t>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 xml:space="preserve">7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项目实施后受地质灾害威胁的群众生命财产安全得到了保障，此项无扣分，得 7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、满意度</w:t>
      </w:r>
      <w:r>
        <w:rPr>
          <w:rFonts w:hint="eastAsia" w:ascii="仿宋" w:hAnsi="仿宋" w:eastAsia="仿宋" w:cs="仿宋"/>
          <w:color w:val="auto"/>
          <w:sz w:val="30"/>
          <w:szCs w:val="30"/>
          <w:highlight w:val="none"/>
          <w:lang w:val="en-US" w:eastAsia="zh-CN"/>
        </w:rPr>
        <w:t>指标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w:t>
      </w:r>
      <w:r>
        <w:rPr>
          <w:rFonts w:hint="eastAsia" w:ascii="仿宋" w:hAnsi="仿宋" w:eastAsia="仿宋" w:cs="仿宋"/>
          <w:color w:val="auto"/>
          <w:sz w:val="30"/>
          <w:szCs w:val="30"/>
          <w:highlight w:val="none"/>
          <w:lang w:eastAsia="zh-CN"/>
        </w:rPr>
        <w:t>得</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 xml:space="preserve">6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项目组根据方案设计了社会公众满意度调查问卷</w:t>
      </w:r>
      <w:r>
        <w:rPr>
          <w:rFonts w:hint="eastAsia" w:ascii="Times New Roman" w:hAnsi="Times New Roman" w:eastAsia="仿宋_GB2312" w:cs="Times New Roman"/>
          <w:sz w:val="32"/>
          <w:szCs w:val="32"/>
          <w:highlight w:val="none"/>
          <w:lang w:val="en-US" w:eastAsia="zh-CN"/>
        </w:rPr>
        <w:t>，</w:t>
      </w:r>
      <w:r>
        <w:rPr>
          <w:rFonts w:hint="eastAsia" w:ascii="仿宋" w:hAnsi="仿宋" w:eastAsia="仿宋" w:cs="仿宋"/>
          <w:color w:val="auto"/>
          <w:sz w:val="30"/>
          <w:szCs w:val="30"/>
          <w:highlight w:val="none"/>
          <w:lang w:val="en-US" w:eastAsia="zh-CN"/>
        </w:rPr>
        <w:t>并</w:t>
      </w:r>
      <w:r>
        <w:rPr>
          <w:rFonts w:hint="eastAsia" w:ascii="仿宋" w:hAnsi="仿宋" w:eastAsia="仿宋" w:cs="仿宋"/>
          <w:color w:val="auto"/>
          <w:sz w:val="30"/>
          <w:szCs w:val="30"/>
          <w:highlight w:val="none"/>
        </w:rPr>
        <w:t>向</w:t>
      </w:r>
      <w:r>
        <w:rPr>
          <w:rFonts w:hint="eastAsia" w:ascii="仿宋" w:hAnsi="仿宋" w:eastAsia="仿宋" w:cs="仿宋"/>
          <w:color w:val="auto"/>
          <w:sz w:val="30"/>
          <w:szCs w:val="30"/>
          <w:highlight w:val="none"/>
          <w:lang w:val="en-US" w:eastAsia="zh-CN"/>
        </w:rPr>
        <w:t>项目实施区受益群众发放调查问卷，通过对回收的有效问卷的分析，受益群众满意度为98%，依据评分标准得 6 分。</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0" w:name="_Toc8174"/>
      <w:r>
        <w:rPr>
          <w:rFonts w:hint="eastAsia" w:ascii="Calibri" w:hAnsi="Calibri" w:eastAsia="黑体" w:cs="Times New Roman"/>
          <w:bCs/>
          <w:snapToGrid/>
          <w:sz w:val="32"/>
          <w:szCs w:val="44"/>
          <w:lang w:val="en-US" w:eastAsia="zh-CN" w:bidi="ar-SA"/>
        </w:rPr>
        <w:t>四、评价结论</w:t>
      </w:r>
      <w:bookmarkEnd w:id="20"/>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根据评价小组的绩效分析，</w:t>
      </w:r>
      <w:r>
        <w:rPr>
          <w:rFonts w:hint="eastAsia" w:ascii="仿宋" w:hAnsi="仿宋" w:eastAsia="仿宋" w:cs="仿宋"/>
          <w:color w:val="auto"/>
          <w:sz w:val="30"/>
          <w:szCs w:val="30"/>
          <w:highlight w:val="none"/>
          <w:lang w:val="en-US" w:eastAsia="zh-CN"/>
        </w:rPr>
        <w:t>麻阳苗族自治县2022年地质灾害防治项目绩效</w:t>
      </w:r>
      <w:r>
        <w:rPr>
          <w:rFonts w:hint="eastAsia" w:ascii="仿宋" w:hAnsi="仿宋" w:eastAsia="仿宋" w:cs="仿宋"/>
          <w:color w:val="auto"/>
          <w:sz w:val="30"/>
          <w:szCs w:val="30"/>
          <w:highlight w:val="none"/>
        </w:rPr>
        <w:t>评价综合得分为</w:t>
      </w:r>
      <w:r>
        <w:rPr>
          <w:rFonts w:hint="eastAsia" w:ascii="仿宋" w:hAnsi="仿宋" w:eastAsia="仿宋" w:cs="仿宋"/>
          <w:color w:val="auto"/>
          <w:sz w:val="30"/>
          <w:szCs w:val="30"/>
          <w:highlight w:val="none"/>
          <w:lang w:val="en-US" w:eastAsia="zh-CN"/>
        </w:rPr>
        <w:t>86</w:t>
      </w:r>
      <w:r>
        <w:rPr>
          <w:rFonts w:hint="eastAsia" w:ascii="仿宋" w:hAnsi="仿宋" w:eastAsia="仿宋" w:cs="仿宋"/>
          <w:color w:val="auto"/>
          <w:sz w:val="30"/>
          <w:szCs w:val="30"/>
          <w:highlight w:val="none"/>
        </w:rPr>
        <w:t>分（具体如下表），评价等级为</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良”。</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项目绩效</w:t>
      </w:r>
      <w:r>
        <w:rPr>
          <w:rFonts w:hint="eastAsia" w:ascii="仿宋" w:hAnsi="仿宋" w:eastAsia="仿宋" w:cs="仿宋"/>
          <w:color w:val="auto"/>
          <w:sz w:val="30"/>
          <w:szCs w:val="30"/>
          <w:highlight w:val="none"/>
        </w:rPr>
        <w:t>评价评分表</w:t>
      </w:r>
    </w:p>
    <w:tbl>
      <w:tblPr>
        <w:tblStyle w:val="15"/>
        <w:tblW w:w="8676" w:type="dxa"/>
        <w:tblInd w:w="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15"/>
        <w:gridCol w:w="2748"/>
        <w:gridCol w:w="27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评价指标</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标准分值</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val="en-US" w:eastAsia="zh-CN"/>
              </w:rPr>
              <w:t>决策</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8 </w:t>
            </w:r>
            <w:r>
              <w:rPr>
                <w:rFonts w:hint="eastAsia" w:ascii="仿宋" w:hAnsi="仿宋" w:eastAsia="仿宋" w:cs="仿宋"/>
                <w:color w:val="auto"/>
                <w:sz w:val="30"/>
                <w:szCs w:val="30"/>
                <w:highlight w:val="none"/>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过程</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20</w:t>
            </w:r>
            <w:r>
              <w:rPr>
                <w:rFonts w:hint="eastAsia" w:ascii="仿宋" w:hAnsi="仿宋" w:eastAsia="仿宋" w:cs="仿宋"/>
                <w:color w:val="auto"/>
                <w:sz w:val="30"/>
                <w:szCs w:val="30"/>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产出</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33 </w:t>
            </w:r>
            <w:r>
              <w:rPr>
                <w:rFonts w:hint="eastAsia" w:ascii="仿宋" w:hAnsi="仿宋" w:eastAsia="仿宋" w:cs="仿宋"/>
                <w:color w:val="auto"/>
                <w:sz w:val="30"/>
                <w:szCs w:val="30"/>
                <w:highlight w:val="none"/>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效果</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25 </w:t>
            </w:r>
            <w:r>
              <w:rPr>
                <w:rFonts w:hint="eastAsia" w:ascii="仿宋" w:hAnsi="仿宋" w:eastAsia="仿宋" w:cs="仿宋"/>
                <w:color w:val="auto"/>
                <w:sz w:val="30"/>
                <w:szCs w:val="30"/>
                <w:highlight w:val="none"/>
              </w:rPr>
              <w:t>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25</w:t>
            </w:r>
            <w:r>
              <w:rPr>
                <w:rFonts w:hint="eastAsia" w:ascii="仿宋" w:hAnsi="仿宋" w:eastAsia="仿宋" w:cs="仿宋"/>
                <w:color w:val="auto"/>
                <w:sz w:val="30"/>
                <w:szCs w:val="30"/>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综合绩效</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100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86</w:t>
            </w:r>
            <w:r>
              <w:rPr>
                <w:rFonts w:hint="eastAsia" w:ascii="仿宋" w:hAnsi="仿宋" w:eastAsia="仿宋" w:cs="仿宋"/>
                <w:color w:val="auto"/>
                <w:sz w:val="30"/>
                <w:szCs w:val="30"/>
                <w:highlight w:val="none"/>
              </w:rPr>
              <w:t>分</w:t>
            </w:r>
          </w:p>
        </w:tc>
      </w:tr>
    </w:tbl>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1" w:name="_Toc15459"/>
      <w:r>
        <w:rPr>
          <w:rFonts w:hint="eastAsia" w:ascii="Calibri" w:hAnsi="Calibri" w:eastAsia="黑体" w:cs="Times New Roman"/>
          <w:bCs/>
          <w:snapToGrid/>
          <w:sz w:val="32"/>
          <w:szCs w:val="44"/>
          <w:lang w:val="en-US" w:eastAsia="zh-CN" w:bidi="ar-SA"/>
        </w:rPr>
        <w:t>五、存在的问题和建议</w:t>
      </w:r>
      <w:bookmarkEnd w:id="21"/>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22" w:name="_Toc23043"/>
      <w:r>
        <w:rPr>
          <w:rFonts w:hint="eastAsia" w:ascii="Cambria" w:hAnsi="Cambria" w:eastAsia="楷体_GB2312" w:cs="Times New Roman"/>
          <w:bCs/>
          <w:snapToGrid/>
          <w:kern w:val="2"/>
          <w:sz w:val="32"/>
          <w:szCs w:val="32"/>
          <w:lang w:val="en-US" w:eastAsia="zh-CN" w:bidi="ar-SA"/>
        </w:rPr>
        <w:t>（一） 存在的问题</w:t>
      </w:r>
      <w:bookmarkEnd w:id="22"/>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1、预算绩效目标设置缺失</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单位未设置年度具体绩效目标，未按要求申报项目支出绩效目标，不符合《湖南省预算绩效目标管理办法》第三章绩效目标的编制与报送的第八条“按照“谁申请资金，谁编制目标”的原则，绩效目标由预算部门申报预算和项目实施单位申请预算资金时填报”的规定。</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2、批复项目与实施的项目不一致</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自然资源局提供的文件与实际实施的项目不一致，湘财资环指【2022】62号文件下达的地质灾害防治资金是263万元，项目实施地是谭家寨乡乌林村二、七、八组滑坡地质灾害治理工程，而实际实施的是高村镇、吕家坪镇、石羊哨乡等12个乡镇20个村。</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3、资金到位率低</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bookmarkStart w:id="23" w:name="_bookmark21"/>
      <w:bookmarkEnd w:id="23"/>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麻阳苗族自治县自然资源局</w:t>
      </w:r>
      <w:r>
        <w:rPr>
          <w:rFonts w:hint="eastAsia" w:ascii="仿宋" w:hAnsi="仿宋" w:eastAsia="仿宋" w:cs="仿宋"/>
          <w:color w:val="auto"/>
          <w:sz w:val="30"/>
          <w:szCs w:val="30"/>
          <w:highlight w:val="none"/>
        </w:rPr>
        <w:t>提供的</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绩效评价自查报告</w:t>
      </w:r>
      <w:r>
        <w:rPr>
          <w:rFonts w:hint="eastAsia" w:ascii="仿宋" w:hAnsi="仿宋" w:eastAsia="仿宋" w:cs="仿宋"/>
          <w:color w:val="auto"/>
          <w:sz w:val="30"/>
          <w:szCs w:val="30"/>
          <w:highlight w:val="none"/>
          <w:lang w:eastAsia="zh-CN"/>
        </w:rPr>
        <w:t>”截至2023年</w:t>
      </w:r>
      <w:r>
        <w:rPr>
          <w:rFonts w:hint="eastAsia" w:ascii="仿宋" w:hAnsi="仿宋" w:eastAsia="仿宋" w:cs="仿宋"/>
          <w:color w:val="auto"/>
          <w:sz w:val="30"/>
          <w:szCs w:val="30"/>
          <w:highlight w:val="none"/>
          <w:lang w:val="en-US" w:eastAsia="zh-CN"/>
        </w:rPr>
        <w:t>9月15日，麻阳苗族自治县2022年度地质灾害防治项目资金实际到位224.2724万元</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资金到位率74.76%。</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4、档案管理不规范  </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根据现场访谈及收回的资料整理分析发现，项目实施单位档案管理不规范，如财务管理制度、业务管理制度未及时归档。</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24" w:name="_Toc16278"/>
      <w:r>
        <w:rPr>
          <w:rFonts w:hint="eastAsia" w:ascii="Cambria" w:hAnsi="Cambria" w:eastAsia="楷体_GB2312" w:cs="Times New Roman"/>
          <w:bCs/>
          <w:snapToGrid/>
          <w:kern w:val="2"/>
          <w:sz w:val="32"/>
          <w:szCs w:val="32"/>
          <w:lang w:val="en-US" w:eastAsia="zh-CN" w:bidi="ar-SA"/>
        </w:rPr>
        <w:t>（二） 改进建议</w:t>
      </w:r>
      <w:bookmarkEnd w:id="24"/>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1、强化绩效目标管理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按照“谁申请资金，谁设定目标”的原则，建议项目单位在申报使用财政资金时，可依据单位的管理模式，项目实施特点，从数量、质量、时效、成本、效益、群众满意度等方面，综合衡量政策和项目预算资金使用效果等方面，切合实际设置项目的绩效目标。进一步规范绩效管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lang w:val="en-US" w:eastAsia="zh-CN"/>
        </w:rPr>
        <w:t xml:space="preserve"> </w:t>
      </w:r>
      <w:r>
        <w:rPr>
          <w:rFonts w:hint="eastAsia" w:ascii="仿宋" w:hAnsi="仿宋" w:eastAsia="仿宋" w:cs="仿宋"/>
          <w:color w:val="auto"/>
          <w:sz w:val="30"/>
          <w:szCs w:val="30"/>
          <w:highlight w:val="none"/>
          <w:lang w:val="en-US" w:eastAsia="zh-CN"/>
        </w:rPr>
        <w:t>2、进一步规范项目资料的申报与审查</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规范项目资料的申报与审查，项目实施单位应积极与相关主管部门及时协调与衔接，避免出现项目主要要素前后不相符合的情况。否则，不利于项目的实施和成本的控制，不利于责任的划分。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3、财政按照预算及时拨付资金，提高项目的执行率</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财政部门应根据预算及时拨付财政资金，切实提高项目的执行率和财政资金的使用效益。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4、建立健全档案管理制度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建议项目实施单位结合本单位实际情况，建立健全档案管理制度，从归档时间、归档范围、档案保管期限、保管地点、专人管理、借档要求等方面完善档案管理制度，确保项目资料管理更加规范。</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default" w:ascii="Calibri" w:hAnsi="Calibri" w:eastAsia="黑体" w:cs="Times New Roman"/>
          <w:bCs/>
          <w:snapToGrid/>
          <w:sz w:val="32"/>
          <w:szCs w:val="44"/>
          <w:lang w:val="en-US" w:eastAsia="zh-CN" w:bidi="ar-SA"/>
        </w:rPr>
      </w:pPr>
      <w:bookmarkStart w:id="25" w:name="_Toc19764"/>
      <w:r>
        <w:rPr>
          <w:rFonts w:hint="eastAsia" w:ascii="Calibri" w:hAnsi="Calibri" w:eastAsia="黑体" w:cs="Times New Roman"/>
          <w:bCs/>
          <w:snapToGrid/>
          <w:sz w:val="32"/>
          <w:szCs w:val="44"/>
          <w:lang w:val="en-US" w:eastAsia="zh-CN" w:bidi="ar-SA"/>
        </w:rPr>
        <w:t>六、</w:t>
      </w:r>
      <w:bookmarkStart w:id="26" w:name="_Toc16918"/>
      <w:r>
        <w:rPr>
          <w:rFonts w:hint="eastAsia" w:ascii="Calibri" w:hAnsi="Calibri" w:eastAsia="黑体" w:cs="Times New Roman"/>
          <w:bCs/>
          <w:snapToGrid/>
          <w:sz w:val="32"/>
          <w:szCs w:val="44"/>
          <w:lang w:val="en-US" w:eastAsia="zh-CN" w:bidi="ar-SA"/>
        </w:rPr>
        <w:t>其他需说明的情况</w:t>
      </w:r>
      <w:bookmarkEnd w:id="25"/>
      <w:bookmarkEnd w:id="26"/>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次评价是依据财政部及省、市有关部门的文件规定和要求进行的，选择的绩效评价程序取决于评估人员的判断，绩效评价的可靠性基于相关部门和单位提供资料的全面性和准确性，评价小组尽可能地收集更为全面、有效、准确的文件和数据，但由于受客观因素的限制，只能在相关部门和单位提供的现有资料的前提下，结合应有的职业判断作出尽可能可靠的评价结论。</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2、本公司及本次评价人员与委托评价单位和项目实施单位之间不存在任何特殊的、需要回避的利害关系，评价人员在评价过程中恪守了职业道德规范。</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7" w:name="_Toc15427"/>
      <w:r>
        <w:rPr>
          <w:rFonts w:hint="eastAsia" w:ascii="Calibri" w:hAnsi="Calibri" w:eastAsia="黑体" w:cs="Times New Roman"/>
          <w:bCs/>
          <w:snapToGrid/>
          <w:sz w:val="32"/>
          <w:szCs w:val="44"/>
          <w:lang w:val="en-US" w:eastAsia="zh-CN" w:bidi="ar-SA"/>
        </w:rPr>
        <w:t>七、附件</w:t>
      </w:r>
      <w:bookmarkEnd w:id="27"/>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麻阳苗族自治县2022年地质灾害防治项目绩效评价指标评分表</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3900" w:firstLineChars="13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3900" w:firstLineChars="13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湖南泰信会计师事务所有限公司</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二0二三年十月十二日</w:t>
      </w:r>
      <w:bookmarkStart w:id="28" w:name="_bookmark15"/>
      <w:bookmarkEnd w:id="28"/>
      <w:bookmarkStart w:id="29" w:name="_bookmark17"/>
      <w:bookmarkEnd w:id="29"/>
      <w:bookmarkStart w:id="30" w:name="_bookmark16"/>
      <w:bookmarkEnd w:id="30"/>
      <w:bookmarkStart w:id="31" w:name="_bookmark22"/>
      <w:bookmarkEnd w:id="3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sectPr>
          <w:footerReference r:id="rId10" w:type="default"/>
          <w:pgSz w:w="11906" w:h="16838"/>
          <w:pgMar w:top="1003" w:right="1417" w:bottom="1003" w:left="1701" w:header="851" w:footer="992" w:gutter="0"/>
          <w:pgBorders>
            <w:top w:val="none" w:sz="0" w:space="0"/>
            <w:left w:val="none" w:sz="0" w:space="0"/>
            <w:bottom w:val="none" w:sz="0" w:space="0"/>
            <w:right w:val="none" w:sz="0" w:space="0"/>
          </w:pgBorders>
          <w:pgNumType w:start="1"/>
          <w:cols w:space="0" w:num="1"/>
          <w:rtlGutter w:val="0"/>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附件</w:t>
      </w:r>
    </w:p>
    <w:tbl>
      <w:tblPr>
        <w:tblStyle w:val="13"/>
        <w:tblW w:w="1485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8"/>
        <w:gridCol w:w="1116"/>
        <w:gridCol w:w="1525"/>
        <w:gridCol w:w="746"/>
        <w:gridCol w:w="3258"/>
        <w:gridCol w:w="4635"/>
        <w:gridCol w:w="645"/>
        <w:gridCol w:w="19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4853" w:type="dxa"/>
            <w:gridSpan w:val="8"/>
            <w:tcBorders>
              <w:top w:val="nil"/>
              <w:left w:val="nil"/>
              <w:bottom w:val="nil"/>
              <w:right w:val="nil"/>
            </w:tcBorders>
            <w:shd w:val="clear" w:color="auto" w:fill="CCE8CF"/>
            <w:vAlign w:val="center"/>
          </w:tcPr>
          <w:p>
            <w:pPr>
              <w:jc w:val="center"/>
              <w:rPr>
                <w:rFonts w:hint="default" w:ascii="仿宋" w:hAnsi="仿宋" w:eastAsia="仿宋" w:cs="仿宋"/>
                <w:i w:val="0"/>
                <w:iCs w:val="0"/>
                <w:color w:val="auto"/>
                <w:sz w:val="20"/>
                <w:szCs w:val="20"/>
                <w:highlight w:val="none"/>
                <w:u w:val="none"/>
                <w:lang w:val="en-US" w:eastAsia="zh-CN"/>
              </w:rPr>
            </w:pPr>
            <w:r>
              <w:rPr>
                <w:rFonts w:hint="eastAsia" w:ascii="仿宋" w:hAnsi="仿宋" w:eastAsia="仿宋" w:cs="仿宋"/>
                <w:b/>
                <w:bCs/>
                <w:color w:val="auto"/>
                <w:sz w:val="36"/>
                <w:szCs w:val="36"/>
                <w:highlight w:val="none"/>
                <w:lang w:val="en-US" w:eastAsia="zh-CN"/>
              </w:rPr>
              <w:t>麻阳苗族自治县2022年地质灾害防治项目</w:t>
            </w:r>
            <w:r>
              <w:rPr>
                <w:rFonts w:hint="eastAsia" w:ascii="仿宋" w:hAnsi="仿宋" w:eastAsia="仿宋" w:cs="仿宋"/>
                <w:b/>
                <w:bCs/>
                <w:color w:val="auto"/>
                <w:sz w:val="36"/>
                <w:szCs w:val="36"/>
                <w:highlight w:val="none"/>
              </w:rPr>
              <w:t>绩效评价</w:t>
            </w:r>
            <w:r>
              <w:rPr>
                <w:rFonts w:hint="eastAsia" w:ascii="仿宋" w:hAnsi="仿宋" w:eastAsia="仿宋" w:cs="仿宋"/>
                <w:b/>
                <w:bCs/>
                <w:color w:val="auto"/>
                <w:sz w:val="36"/>
                <w:szCs w:val="36"/>
                <w:highlight w:val="none"/>
                <w:lang w:val="en-US" w:eastAsia="zh-CN"/>
              </w:rPr>
              <w:t>指标评分表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97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snapToGrid w:val="0"/>
                <w:color w:val="auto"/>
                <w:kern w:val="0"/>
                <w:sz w:val="20"/>
                <w:szCs w:val="20"/>
                <w:highlight w:val="none"/>
                <w:u w:val="none"/>
                <w:lang w:val="en-US" w:eastAsia="zh-CN" w:bidi="ar"/>
              </w:rPr>
              <w:t>一级指标</w:t>
            </w:r>
          </w:p>
        </w:tc>
        <w:tc>
          <w:tcPr>
            <w:tcW w:w="111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snapToGrid w:val="0"/>
                <w:color w:val="auto"/>
                <w:kern w:val="0"/>
                <w:sz w:val="20"/>
                <w:szCs w:val="20"/>
                <w:highlight w:val="none"/>
                <w:u w:val="none"/>
                <w:lang w:val="en-US" w:eastAsia="zh-CN" w:bidi="ar"/>
              </w:rPr>
              <w:t>二级指标</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snapToGrid w:val="0"/>
                <w:color w:val="auto"/>
                <w:kern w:val="0"/>
                <w:sz w:val="20"/>
                <w:szCs w:val="20"/>
                <w:highlight w:val="none"/>
                <w:u w:val="none"/>
                <w:lang w:val="en-US" w:eastAsia="zh-CN" w:bidi="ar"/>
              </w:rPr>
              <w:t>三级指标</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snapToGrid w:val="0"/>
                <w:color w:val="auto"/>
                <w:kern w:val="0"/>
                <w:sz w:val="20"/>
                <w:szCs w:val="20"/>
                <w:highlight w:val="none"/>
                <w:u w:val="none"/>
                <w:lang w:val="en-US" w:eastAsia="zh-CN" w:bidi="ar"/>
              </w:rPr>
              <w:t>分值</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snapToGrid w:val="0"/>
                <w:color w:val="auto"/>
                <w:kern w:val="0"/>
                <w:sz w:val="20"/>
                <w:szCs w:val="20"/>
                <w:highlight w:val="none"/>
                <w:u w:val="none"/>
                <w:lang w:val="en-US" w:eastAsia="zh-CN" w:bidi="ar"/>
              </w:rPr>
              <w:t>指标解释</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snapToGrid w:val="0"/>
                <w:color w:val="auto"/>
                <w:kern w:val="0"/>
                <w:sz w:val="20"/>
                <w:szCs w:val="20"/>
                <w:highlight w:val="none"/>
                <w:u w:val="none"/>
                <w:lang w:val="en-US" w:eastAsia="zh-CN" w:bidi="ar"/>
              </w:rPr>
              <w:t>评分标准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snapToGrid w:val="0"/>
                <w:color w:val="auto"/>
                <w:kern w:val="0"/>
                <w:sz w:val="20"/>
                <w:szCs w:val="20"/>
                <w:highlight w:val="none"/>
                <w:u w:val="none"/>
                <w:lang w:val="en-US" w:eastAsia="zh-CN" w:bidi="ar"/>
              </w:rPr>
              <w:t>评价得分</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snapToGrid w:val="0"/>
                <w:color w:val="auto"/>
                <w:kern w:val="0"/>
                <w:sz w:val="20"/>
                <w:szCs w:val="20"/>
                <w:highlight w:val="none"/>
                <w:u w:val="none"/>
                <w:lang w:val="en-US" w:eastAsia="zh-CN" w:bidi="ar"/>
              </w:rPr>
              <w:t>扣分情况说明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决策        （15分）　</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项目立项（4分）　</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立项依据充分性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2</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项目立项是否符合法律法规、相关政策、发展规划以及部门职责，用以反映和考核项目立项依据情况。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①项目立项符合国家法律法规、国民经济发展规划和相关政策、行业发展规划和政策要求，计0.5分；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②项目立项与部门职责范围相符，属于部门履职所需，计0.5分；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③项目属于公共财政支持范围，符合中央、地方事权支出责任划分原则，计0.5分；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④项目未与相关部门同类项目或部门内部相关项目重复，计0.5分。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批复项目与实施项目不一致，扣1分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立项程序规范性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2</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项目申请、设立过程是否符合相关要求，用以反映和考核项目立项的规范情况。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①项目按照规定的程序申请设立，计0.5分；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②审批文件、材料符合相关要求，计0.5分；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③事前已经过必要的可行性研究、专家论证、风险评估、绩效评估、集体决策，计1分。1例不符扣0.2分。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2</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绩效目标（6分）　</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绩效目标合理性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3</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项目所设定的绩效目标是否依据充分，是否符合客观实际，用以反映和考核项目绩效目标与项目实施的相符情况。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①专项资金设定了绩效目标，计1分，否则不得分；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②与预算确定的项目投资额或资金量相匹配，计1分，否则不得分；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③绩效目标与项目实施内容有相关性，计1分，否则不得分。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0</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无绩效目标，扣3分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绩效指标明确性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3</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依据绩效目标设定的绩效指标是否清晰、细化、可衡量等，用以反映和考核项目绩效目标的明细化情况。</w:t>
            </w:r>
          </w:p>
        </w:tc>
        <w:tc>
          <w:tcPr>
            <w:tcW w:w="4635" w:type="dxa"/>
            <w:tcBorders>
              <w:top w:val="single" w:color="000000" w:sz="4" w:space="0"/>
              <w:left w:val="single" w:color="000000" w:sz="4" w:space="0"/>
              <w:bottom w:val="single" w:color="auto"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Style w:val="21"/>
                <w:snapToGrid w:val="0"/>
                <w:color w:val="auto"/>
                <w:highlight w:val="none"/>
                <w:lang w:val="en-US" w:eastAsia="zh-CN" w:bidi="ar"/>
              </w:rPr>
              <w:t>①将项目绩效目标细化分解为具体的绩效指标，计</w:t>
            </w:r>
            <w:r>
              <w:rPr>
                <w:rStyle w:val="22"/>
                <w:snapToGrid w:val="0"/>
                <w:color w:val="auto"/>
                <w:highlight w:val="none"/>
                <w:lang w:val="en-US" w:eastAsia="zh-CN" w:bidi="ar"/>
              </w:rPr>
              <w:t>1</w:t>
            </w:r>
            <w:r>
              <w:rPr>
                <w:rStyle w:val="21"/>
                <w:snapToGrid w:val="0"/>
                <w:color w:val="auto"/>
                <w:highlight w:val="none"/>
                <w:lang w:val="en-US" w:eastAsia="zh-CN" w:bidi="ar"/>
              </w:rPr>
              <w:t>分；</w:t>
            </w:r>
            <w:r>
              <w:rPr>
                <w:rStyle w:val="21"/>
                <w:snapToGrid w:val="0"/>
                <w:color w:val="auto"/>
                <w:highlight w:val="none"/>
                <w:lang w:val="en-US" w:eastAsia="zh-CN" w:bidi="ar"/>
              </w:rPr>
              <w:br w:type="textWrapping"/>
            </w:r>
            <w:r>
              <w:rPr>
                <w:rStyle w:val="21"/>
                <w:snapToGrid w:val="0"/>
                <w:color w:val="auto"/>
                <w:highlight w:val="none"/>
                <w:lang w:val="en-US" w:eastAsia="zh-CN" w:bidi="ar"/>
              </w:rPr>
              <w:t>②通过清晰、可衡量的指标值予以体现，计1分；</w:t>
            </w:r>
            <w:r>
              <w:rPr>
                <w:rStyle w:val="21"/>
                <w:snapToGrid w:val="0"/>
                <w:color w:val="auto"/>
                <w:highlight w:val="none"/>
                <w:lang w:val="en-US" w:eastAsia="zh-CN" w:bidi="ar"/>
              </w:rPr>
              <w:br w:type="textWrapping"/>
            </w:r>
            <w:r>
              <w:rPr>
                <w:rStyle w:val="21"/>
                <w:snapToGrid w:val="0"/>
                <w:color w:val="auto"/>
                <w:highlight w:val="none"/>
                <w:lang w:val="en-US" w:eastAsia="zh-CN" w:bidi="ar"/>
              </w:rPr>
              <w:t>③与项目目标任务数或计划数相对应，计1分。</w:t>
            </w:r>
          </w:p>
        </w:tc>
        <w:tc>
          <w:tcPr>
            <w:tcW w:w="645" w:type="dxa"/>
            <w:tcBorders>
              <w:top w:val="single" w:color="000000" w:sz="4" w:space="0"/>
              <w:left w:val="single" w:color="000000" w:sz="4" w:space="0"/>
              <w:bottom w:val="single" w:color="auto"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0</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无绩效目标，扣3分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资金投入（5分）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预算编制科学性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项目预算编制是否经过科学论证、有明确标准，资金额度与年度目标是否相适应，用以反映和考核项目预算编制的科学性、合理性情况。</w:t>
            </w:r>
          </w:p>
        </w:tc>
        <w:tc>
          <w:tcPr>
            <w:tcW w:w="4635"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①预算内容与项目内容匹配，计1分，否则不得分；             ②预算额度按照标准编制、测算依据充分，计2分，否则不得分；                                     ③预算确定的项目投资额或资金量与工作任务相匹配，计2分，否则不得分。</w:t>
            </w:r>
          </w:p>
        </w:tc>
        <w:tc>
          <w:tcPr>
            <w:tcW w:w="645" w:type="dxa"/>
            <w:tcBorders>
              <w:top w:val="single" w:color="auto"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5</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过程  （25分）</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资金管理（15分）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资金到位率</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实际到位资金与预算资金的比率，用以反映和考核资金落实情况对项目实施的总体保障程度。</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资金到位率=（实际到位资金/预算资金）×100%。资金到位率100%计5分，每下降10%（含）扣0.5分，扣完为止。</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3</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sz w:val="20"/>
                <w:szCs w:val="20"/>
                <w:highlight w:val="none"/>
                <w:u w:val="none"/>
                <w:lang w:val="en-US" w:eastAsia="zh-CN"/>
              </w:rPr>
              <w:t>资金到位率74.76%，扣2分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预算执行率</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项目预算资金是否按照计划执行，用以反映或考核项目预算执行情况。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预算执行率=（实际支出资金/实际到位资金）×100%，项目资金执行率100%,计5分，每下降10%（含）扣1分，扣完为止。</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5</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default" w:ascii="仿宋" w:hAnsi="仿宋" w:eastAsia="仿宋" w:cs="仿宋"/>
                <w:i w:val="0"/>
                <w:iCs w:val="0"/>
                <w:color w:val="auto"/>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资金使用合规性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项目资金使用是否符合相关的财务管理制度规定，用以反映和考核项目资金的规范运行情况。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①符合国家财经法规和财务管理制度以及有关专项资金管理办法的规定,计2分，否则不得分；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②专账核算专项资金的使用、专款专用,计2分，否则不得分；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③资金的拨付有完整的审批程序和手续,计1分，否则不得分；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④存在截留、挤占、挪用、虚列支出情况本项5分全扣。</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5</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组织实施（10分）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管理制度健全性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项目实施单位的财务和业务管理制度是否健全，用以反映和考核财务和业务管理制度对项目顺利实施的保障情况。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①已制定或具有相应的财务和业务管理制度,计3分，否则酌情扣分；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②财务和业务管理制度内容合法、合规、完整，计2分，否则酌情扣分。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3</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default"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000000"/>
                <w:sz w:val="20"/>
                <w:szCs w:val="20"/>
                <w:u w:val="none"/>
                <w:lang w:val="en-US" w:eastAsia="zh-CN"/>
              </w:rPr>
              <w:t>管理制度不健</w:t>
            </w:r>
            <w:r>
              <w:rPr>
                <w:rFonts w:hint="eastAsia" w:ascii="仿宋" w:hAnsi="仿宋" w:eastAsia="仿宋" w:cs="仿宋"/>
                <w:i w:val="0"/>
                <w:iCs w:val="0"/>
                <w:color w:val="auto"/>
                <w:sz w:val="20"/>
                <w:szCs w:val="20"/>
                <w:highlight w:val="none"/>
                <w:u w:val="none"/>
                <w:lang w:val="en-US" w:eastAsia="zh-CN"/>
              </w:rPr>
              <w:t>扣2分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制度执行有效性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5</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项目实施是否符合相关项目管理制度规定，用以反映和考核相关项目管理制度的有效执行情况。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①项目实施严格依据法律法规、制度、程序执行，计2分，否则不得分；                                                        ②业务执行过程有关资料完整，归档及时，计2分，否则不得分；                                                          ③预算支出实施的人员条件、场地设备、信息支撑等落实到位，计1分，否则不得分。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4</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 xml:space="preserve"> 以政府采购协议代替施工合同 </w:t>
            </w:r>
            <w:r>
              <w:rPr>
                <w:rFonts w:hint="eastAsia" w:ascii="仿宋" w:hAnsi="仿宋" w:eastAsia="仿宋" w:cs="仿宋"/>
                <w:i w:val="0"/>
                <w:iCs w:val="0"/>
                <w:color w:val="auto"/>
                <w:sz w:val="20"/>
                <w:szCs w:val="20"/>
                <w:highlight w:val="none"/>
                <w:u w:val="none"/>
                <w:lang w:val="en-US" w:eastAsia="zh-CN"/>
              </w:rPr>
              <w:t>扣1分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产出   （35分）</w:t>
            </w:r>
          </w:p>
        </w:tc>
        <w:tc>
          <w:tcPr>
            <w:tcW w:w="1116" w:type="dxa"/>
            <w:tcBorders>
              <w:top w:val="single" w:color="000000" w:sz="8" w:space="0"/>
              <w:left w:val="single" w:color="000000" w:sz="8" w:space="0"/>
              <w:bottom w:val="single" w:color="auto" w:sz="4"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Style w:val="21"/>
                <w:snapToGrid w:val="0"/>
                <w:color w:val="auto"/>
                <w:highlight w:val="none"/>
                <w:lang w:val="en-US" w:eastAsia="zh-CN" w:bidi="ar"/>
              </w:rPr>
              <w:t>成本指标（10分）</w:t>
            </w:r>
          </w:p>
        </w:tc>
        <w:tc>
          <w:tcPr>
            <w:tcW w:w="1525" w:type="dxa"/>
            <w:tcBorders>
              <w:top w:val="single" w:color="000000" w:sz="4" w:space="0"/>
              <w:left w:val="single" w:color="000000" w:sz="4" w:space="0"/>
              <w:bottom w:val="single" w:color="auto"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成本节约率</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10</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考核麻阳苗族自治县2022年地质灾害防治项目成本控制情况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成本节约率≥0，得10分；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成本节约率&lt;0，绝对值每超出1%，扣1分，扣完为止。</w:t>
            </w:r>
          </w:p>
        </w:tc>
        <w:tc>
          <w:tcPr>
            <w:tcW w:w="645" w:type="dxa"/>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10</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tcBorders>
              <w:top w:val="single" w:color="auto" w:sz="4" w:space="0"/>
              <w:left w:val="single" w:color="000000" w:sz="8" w:space="0"/>
              <w:bottom w:val="single" w:color="auto" w:sz="4"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Style w:val="21"/>
                <w:snapToGrid w:val="0"/>
                <w:color w:val="auto"/>
                <w:highlight w:val="none"/>
                <w:lang w:val="en-US" w:eastAsia="zh-CN" w:bidi="ar"/>
              </w:rPr>
              <w:t>数量指标（10分）</w:t>
            </w:r>
          </w:p>
        </w:tc>
        <w:tc>
          <w:tcPr>
            <w:tcW w:w="1525" w:type="dxa"/>
            <w:tcBorders>
              <w:top w:val="single" w:color="auto"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实际完成率</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10</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考核麻阳苗族自治县2022年地质灾害防治项目数量完成情况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实际完成率100%，得10分；</w:t>
            </w:r>
            <w:r>
              <w:rPr>
                <w:rFonts w:hint="eastAsia" w:ascii="仿宋" w:hAnsi="仿宋" w:eastAsia="仿宋" w:cs="仿宋"/>
                <w:i w:val="0"/>
                <w:iCs w:val="0"/>
                <w:snapToGrid w:val="0"/>
                <w:color w:val="auto"/>
                <w:kern w:val="0"/>
                <w:sz w:val="20"/>
                <w:szCs w:val="20"/>
                <w:highlight w:val="none"/>
                <w:u w:val="none"/>
                <w:lang w:val="en-US" w:eastAsia="zh-CN" w:bidi="ar"/>
              </w:rPr>
              <w:br w:type="textWrapping"/>
            </w:r>
            <w:r>
              <w:rPr>
                <w:rFonts w:hint="eastAsia" w:ascii="仿宋" w:hAnsi="仿宋" w:eastAsia="仿宋" w:cs="仿宋"/>
                <w:i w:val="0"/>
                <w:iCs w:val="0"/>
                <w:snapToGrid w:val="0"/>
                <w:color w:val="auto"/>
                <w:kern w:val="0"/>
                <w:sz w:val="20"/>
                <w:szCs w:val="20"/>
                <w:highlight w:val="none"/>
                <w:u w:val="none"/>
                <w:lang w:val="en-US" w:eastAsia="zh-CN" w:bidi="ar"/>
              </w:rPr>
              <w:t>实际完成率&lt;100%，得分为实际完成率×10</w:t>
            </w:r>
          </w:p>
        </w:tc>
        <w:tc>
          <w:tcPr>
            <w:tcW w:w="645" w:type="dxa"/>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10</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tcBorders>
              <w:top w:val="single" w:color="auto" w:sz="4" w:space="0"/>
              <w:left w:val="single" w:color="000000" w:sz="8" w:space="0"/>
              <w:bottom w:val="single" w:color="000000" w:sz="8"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Style w:val="21"/>
                <w:snapToGrid w:val="0"/>
                <w:color w:val="auto"/>
                <w:highlight w:val="none"/>
                <w:lang w:val="en-US" w:eastAsia="zh-CN" w:bidi="ar"/>
              </w:rPr>
              <w:t>质量指标（8分）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质量达标率</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8</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考核麻阳苗族自治县2022年地质灾害防治项目质量控制情况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实际得分为：质量达标率×8</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2</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无监理合同 扣2分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tcBorders>
              <w:top w:val="nil"/>
              <w:left w:val="single" w:color="000000" w:sz="8" w:space="0"/>
              <w:bottom w:val="single" w:color="000000" w:sz="8"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Style w:val="21"/>
                <w:snapToGrid w:val="0"/>
                <w:color w:val="auto"/>
                <w:highlight w:val="none"/>
                <w:lang w:val="en-US" w:eastAsia="zh-CN" w:bidi="ar"/>
              </w:rPr>
              <w:t>时效指标（7分）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完成及时性</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7</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考核麻阳苗族自治县2022年地质灾害防治项目完成的时效情况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实际完成时间小于计划完成时间，得7分；实际完成时间超计划完成时间，酌情扣分。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7</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效益  （25分）</w:t>
            </w:r>
          </w:p>
        </w:tc>
        <w:tc>
          <w:tcPr>
            <w:tcW w:w="1116" w:type="dxa"/>
            <w:tcBorders>
              <w:top w:val="single" w:color="000000" w:sz="8" w:space="0"/>
              <w:left w:val="single" w:color="000000" w:sz="8" w:space="0"/>
              <w:bottom w:val="nil"/>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Style w:val="21"/>
                <w:snapToGrid w:val="0"/>
                <w:color w:val="auto"/>
                <w:highlight w:val="none"/>
                <w:lang w:val="en-US" w:eastAsia="zh-CN" w:bidi="ar"/>
              </w:rPr>
              <w:t>经济效益指标    （6分）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使人民群众免受地质灾害威胁</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考核麻阳苗族自治县2022年地质灾害防治项目经济效益情况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效果明显得6分，一般得3分，否则不得分。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tcBorders>
              <w:top w:val="single" w:color="000000" w:sz="8" w:space="0"/>
              <w:left w:val="single" w:color="000000" w:sz="8" w:space="0"/>
              <w:bottom w:val="single" w:color="000000" w:sz="8"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Style w:val="21"/>
                <w:snapToGrid w:val="0"/>
                <w:color w:val="auto"/>
                <w:highlight w:val="none"/>
                <w:lang w:val="en-US" w:eastAsia="zh-CN" w:bidi="ar"/>
              </w:rPr>
              <w:t>社会效益指标      （6分）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消除地质灾害隐患</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考核麻阳苗族自治县2022年地质灾害防治项目社会效益情况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效果明显得6分，一般得3分，否则不得分。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tcBorders>
              <w:top w:val="nil"/>
              <w:left w:val="single" w:color="000000" w:sz="8" w:space="0"/>
              <w:bottom w:val="single" w:color="000000" w:sz="8"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Style w:val="21"/>
                <w:rFonts w:hint="eastAsia"/>
                <w:snapToGrid w:val="0"/>
                <w:color w:val="auto"/>
                <w:highlight w:val="none"/>
                <w:lang w:val="en-US" w:eastAsia="zh-CN" w:bidi="ar"/>
              </w:rPr>
              <w:t>可持续影响指标</w:t>
            </w:r>
            <w:r>
              <w:rPr>
                <w:rStyle w:val="21"/>
                <w:snapToGrid w:val="0"/>
                <w:color w:val="auto"/>
                <w:highlight w:val="none"/>
                <w:lang w:val="en-US" w:eastAsia="zh-CN" w:bidi="ar"/>
              </w:rPr>
              <w:t xml:space="preserve">     （7分）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保护受威胁群众生命财产安全</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7</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考核麻阳苗族自治县2022年地质灾害防治项目生态效益情况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效果明显得6分，一般得3分，否则不得分。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7</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116" w:type="dxa"/>
            <w:tcBorders>
              <w:top w:val="nil"/>
              <w:left w:val="single" w:color="000000" w:sz="8" w:space="0"/>
              <w:bottom w:val="single" w:color="000000" w:sz="8" w:space="0"/>
              <w:right w:val="single" w:color="000000" w:sz="8"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Style w:val="21"/>
                <w:snapToGrid w:val="0"/>
                <w:color w:val="auto"/>
                <w:highlight w:val="none"/>
                <w:lang w:val="en-US" w:eastAsia="zh-CN" w:bidi="ar"/>
              </w:rPr>
              <w:t>满意度指标            （6分）</w:t>
            </w: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受益群众满意度</w:t>
            </w: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考核项目实施，受益群众的满意度情况</w:t>
            </w: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受益群众满意率98%,得6分；90%-80%,得4分；80%-60%，得2分；60%以下，得0分。</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6</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78"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合计</w:t>
            </w:r>
          </w:p>
        </w:tc>
        <w:tc>
          <w:tcPr>
            <w:tcW w:w="1116" w:type="dxa"/>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1525" w:type="dxa"/>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746"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snapToGrid w:val="0"/>
                <w:color w:val="auto"/>
                <w:kern w:val="0"/>
                <w:sz w:val="20"/>
                <w:szCs w:val="20"/>
                <w:highlight w:val="none"/>
                <w:u w:val="none"/>
                <w:lang w:val="en-US" w:eastAsia="zh-CN" w:bidi="ar"/>
              </w:rPr>
              <w:t>100</w:t>
            </w:r>
          </w:p>
        </w:tc>
        <w:tc>
          <w:tcPr>
            <w:tcW w:w="3258" w:type="dxa"/>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4635" w:type="dxa"/>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仿宋" w:hAnsi="仿宋" w:eastAsia="仿宋" w:cs="仿宋"/>
                <w:i w:val="0"/>
                <w:iCs w:val="0"/>
                <w:color w:val="auto"/>
                <w:sz w:val="20"/>
                <w:szCs w:val="20"/>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snapToGrid w:val="0"/>
                <w:color w:val="auto"/>
                <w:kern w:val="0"/>
                <w:sz w:val="20"/>
                <w:szCs w:val="20"/>
                <w:highlight w:val="none"/>
                <w:u w:val="none"/>
                <w:lang w:val="en-US" w:eastAsia="zh-CN" w:bidi="ar"/>
              </w:rPr>
              <w:t>86</w:t>
            </w:r>
          </w:p>
        </w:tc>
        <w:tc>
          <w:tcPr>
            <w:tcW w:w="19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rPr>
                <w:rFonts w:hint="eastAsia" w:ascii="仿宋" w:hAnsi="仿宋" w:eastAsia="仿宋" w:cs="仿宋"/>
                <w:i w:val="0"/>
                <w:iCs w:val="0"/>
                <w:color w:val="auto"/>
                <w:sz w:val="20"/>
                <w:szCs w:val="20"/>
                <w:highlight w:val="none"/>
                <w:u w:val="none"/>
              </w:rPr>
            </w:pPr>
          </w:p>
        </w:tc>
      </w:tr>
    </w:tbl>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default" w:ascii="仿宋" w:hAnsi="仿宋" w:eastAsia="仿宋" w:cs="仿宋"/>
          <w:color w:val="auto"/>
          <w:sz w:val="30"/>
          <w:szCs w:val="30"/>
          <w:highlight w:val="none"/>
          <w:lang w:val="en-US" w:eastAsia="zh-CN"/>
        </w:rPr>
      </w:pPr>
    </w:p>
    <w:sectPr>
      <w:pgSz w:w="16838" w:h="11906" w:orient="landscape"/>
      <w:pgMar w:top="1134" w:right="850" w:bottom="1134" w:left="1134" w:header="851" w:footer="992" w:gutter="0"/>
      <w:pgBorders>
        <w:top w:val="none" w:sz="0" w:space="0"/>
        <w:left w:val="none" w:sz="0" w:space="0"/>
        <w:bottom w:val="none" w:sz="0" w:space="0"/>
        <w:right w:val="none" w:sz="0" w:space="0"/>
      </w:pgBorders>
      <w:pgNumType w:start="1"/>
      <w:cols w:space="0" w:num="1"/>
      <w:rtlGutter w:val="0"/>
      <w:docGrid w:type="lines" w:linePitch="32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swiss"/>
    <w:pitch w:val="default"/>
    <w:sig w:usb0="E00002FF" w:usb1="6AC7FDFB" w:usb2="08000012" w:usb3="00000000" w:csb0="4002009F" w:csb1="DFD70000"/>
  </w:font>
  <w:font w:name="方正小标宋简体">
    <w:altName w:val="黑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default" w:eastAsia="宋体"/>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rFonts w:hint="default"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4NDYxNjJmZDUxYjQ4MDk4ODQ5YTBkZWVhMGFkY2YifQ=="/>
  </w:docVars>
  <w:rsids>
    <w:rsidRoot w:val="00000000"/>
    <w:rsid w:val="0049792D"/>
    <w:rsid w:val="017639FF"/>
    <w:rsid w:val="01FA7000"/>
    <w:rsid w:val="020C713B"/>
    <w:rsid w:val="0220306D"/>
    <w:rsid w:val="024D6D1F"/>
    <w:rsid w:val="0280468F"/>
    <w:rsid w:val="03586046"/>
    <w:rsid w:val="03A13CA7"/>
    <w:rsid w:val="04AA4594"/>
    <w:rsid w:val="06125D86"/>
    <w:rsid w:val="064E49D8"/>
    <w:rsid w:val="06763F04"/>
    <w:rsid w:val="06822326"/>
    <w:rsid w:val="06DE3944"/>
    <w:rsid w:val="08060088"/>
    <w:rsid w:val="09383E5F"/>
    <w:rsid w:val="09C248C7"/>
    <w:rsid w:val="0A1D35E4"/>
    <w:rsid w:val="0ADD2F10"/>
    <w:rsid w:val="0B1E17C2"/>
    <w:rsid w:val="0C315C81"/>
    <w:rsid w:val="0CB44363"/>
    <w:rsid w:val="0D014C1C"/>
    <w:rsid w:val="0D11498F"/>
    <w:rsid w:val="0D7C256C"/>
    <w:rsid w:val="0DFE7425"/>
    <w:rsid w:val="0FAC44FE"/>
    <w:rsid w:val="11C512D6"/>
    <w:rsid w:val="12045226"/>
    <w:rsid w:val="12A85BB1"/>
    <w:rsid w:val="13700EA7"/>
    <w:rsid w:val="13915B88"/>
    <w:rsid w:val="156828F0"/>
    <w:rsid w:val="159C4D1D"/>
    <w:rsid w:val="15DB3F06"/>
    <w:rsid w:val="15DF5D8E"/>
    <w:rsid w:val="15EF58A5"/>
    <w:rsid w:val="16E536E2"/>
    <w:rsid w:val="16F52B09"/>
    <w:rsid w:val="18565FD8"/>
    <w:rsid w:val="18574301"/>
    <w:rsid w:val="18800E19"/>
    <w:rsid w:val="18AA76A7"/>
    <w:rsid w:val="19F56D6E"/>
    <w:rsid w:val="1A350834"/>
    <w:rsid w:val="1A602771"/>
    <w:rsid w:val="1A6D5BC3"/>
    <w:rsid w:val="1A7E224F"/>
    <w:rsid w:val="1A817493"/>
    <w:rsid w:val="1ABD143B"/>
    <w:rsid w:val="1BD702B9"/>
    <w:rsid w:val="1BE0016A"/>
    <w:rsid w:val="1E1107A1"/>
    <w:rsid w:val="1E8D64CB"/>
    <w:rsid w:val="1EEA3FB9"/>
    <w:rsid w:val="200D5E5A"/>
    <w:rsid w:val="2038020F"/>
    <w:rsid w:val="20C1159E"/>
    <w:rsid w:val="20C74855"/>
    <w:rsid w:val="219B3DF5"/>
    <w:rsid w:val="23C67357"/>
    <w:rsid w:val="24004C6F"/>
    <w:rsid w:val="250768CC"/>
    <w:rsid w:val="25ED3ADD"/>
    <w:rsid w:val="26391B2B"/>
    <w:rsid w:val="2693085E"/>
    <w:rsid w:val="274F192E"/>
    <w:rsid w:val="27D13E32"/>
    <w:rsid w:val="27E92ABB"/>
    <w:rsid w:val="28C42218"/>
    <w:rsid w:val="29424212"/>
    <w:rsid w:val="29624D1D"/>
    <w:rsid w:val="29AE151A"/>
    <w:rsid w:val="2A546907"/>
    <w:rsid w:val="2AA91C67"/>
    <w:rsid w:val="2C704F27"/>
    <w:rsid w:val="2CB317B2"/>
    <w:rsid w:val="2CE1441B"/>
    <w:rsid w:val="2D5438B1"/>
    <w:rsid w:val="2DC25663"/>
    <w:rsid w:val="2DE5653C"/>
    <w:rsid w:val="2F662C24"/>
    <w:rsid w:val="2FC413DF"/>
    <w:rsid w:val="30E27C07"/>
    <w:rsid w:val="31CD0E0A"/>
    <w:rsid w:val="32D3237F"/>
    <w:rsid w:val="32F1382C"/>
    <w:rsid w:val="336943BF"/>
    <w:rsid w:val="337E053C"/>
    <w:rsid w:val="339C7CFA"/>
    <w:rsid w:val="33A904FB"/>
    <w:rsid w:val="33B10278"/>
    <w:rsid w:val="33B11C77"/>
    <w:rsid w:val="34A73486"/>
    <w:rsid w:val="34F42306"/>
    <w:rsid w:val="34FB4C38"/>
    <w:rsid w:val="35476AA5"/>
    <w:rsid w:val="35D25479"/>
    <w:rsid w:val="36757C23"/>
    <w:rsid w:val="36F90E01"/>
    <w:rsid w:val="370945C1"/>
    <w:rsid w:val="38651CCB"/>
    <w:rsid w:val="38BA2208"/>
    <w:rsid w:val="38FD348B"/>
    <w:rsid w:val="39150A96"/>
    <w:rsid w:val="39BA5707"/>
    <w:rsid w:val="3A1B1BF9"/>
    <w:rsid w:val="3A1E65D5"/>
    <w:rsid w:val="3A816BFF"/>
    <w:rsid w:val="3A8A3D59"/>
    <w:rsid w:val="3A923681"/>
    <w:rsid w:val="3AB331C1"/>
    <w:rsid w:val="3B0C1015"/>
    <w:rsid w:val="3BB37520"/>
    <w:rsid w:val="3BE74F1D"/>
    <w:rsid w:val="3CBD0FE1"/>
    <w:rsid w:val="3D6E33D0"/>
    <w:rsid w:val="3D7309E6"/>
    <w:rsid w:val="3D7A7BC1"/>
    <w:rsid w:val="3D8E65E1"/>
    <w:rsid w:val="3DBE7C11"/>
    <w:rsid w:val="3E7C5B7E"/>
    <w:rsid w:val="3E970704"/>
    <w:rsid w:val="3EA76EC6"/>
    <w:rsid w:val="3FD85478"/>
    <w:rsid w:val="41B04763"/>
    <w:rsid w:val="43425110"/>
    <w:rsid w:val="443D7CB4"/>
    <w:rsid w:val="4484797D"/>
    <w:rsid w:val="44AE4731"/>
    <w:rsid w:val="45352A25"/>
    <w:rsid w:val="45513D03"/>
    <w:rsid w:val="47061F31"/>
    <w:rsid w:val="487F30BA"/>
    <w:rsid w:val="48AA7E34"/>
    <w:rsid w:val="48F24FC2"/>
    <w:rsid w:val="491F33FC"/>
    <w:rsid w:val="492B6619"/>
    <w:rsid w:val="494C6762"/>
    <w:rsid w:val="49AF724A"/>
    <w:rsid w:val="4AD444B7"/>
    <w:rsid w:val="4B3A6D67"/>
    <w:rsid w:val="4B612D81"/>
    <w:rsid w:val="4B7472FA"/>
    <w:rsid w:val="4B9E2CD8"/>
    <w:rsid w:val="4CD6689C"/>
    <w:rsid w:val="4D442D67"/>
    <w:rsid w:val="4D9A5B1B"/>
    <w:rsid w:val="4E5B174E"/>
    <w:rsid w:val="4E984117"/>
    <w:rsid w:val="4EBF641E"/>
    <w:rsid w:val="4F444278"/>
    <w:rsid w:val="502E6A7F"/>
    <w:rsid w:val="50377EEC"/>
    <w:rsid w:val="50915E28"/>
    <w:rsid w:val="50CE69A3"/>
    <w:rsid w:val="50F96FFC"/>
    <w:rsid w:val="5176675F"/>
    <w:rsid w:val="517D59F9"/>
    <w:rsid w:val="51C92E73"/>
    <w:rsid w:val="522D3F86"/>
    <w:rsid w:val="523F3361"/>
    <w:rsid w:val="5299005C"/>
    <w:rsid w:val="52F14B21"/>
    <w:rsid w:val="53364E8A"/>
    <w:rsid w:val="535B6DFC"/>
    <w:rsid w:val="537457EA"/>
    <w:rsid w:val="543C6B1A"/>
    <w:rsid w:val="55523113"/>
    <w:rsid w:val="555F42EB"/>
    <w:rsid w:val="55617D13"/>
    <w:rsid w:val="568B06F7"/>
    <w:rsid w:val="57BB29B9"/>
    <w:rsid w:val="580E6805"/>
    <w:rsid w:val="5AA32C27"/>
    <w:rsid w:val="5AA91A93"/>
    <w:rsid w:val="5C284E23"/>
    <w:rsid w:val="5C53198B"/>
    <w:rsid w:val="5CFD28FE"/>
    <w:rsid w:val="5D472448"/>
    <w:rsid w:val="5D853F47"/>
    <w:rsid w:val="5EB63CA5"/>
    <w:rsid w:val="5F0C25F1"/>
    <w:rsid w:val="5F48187B"/>
    <w:rsid w:val="5F670679"/>
    <w:rsid w:val="5FF2387F"/>
    <w:rsid w:val="5FFD738A"/>
    <w:rsid w:val="60EE2BBA"/>
    <w:rsid w:val="611D3E2E"/>
    <w:rsid w:val="62863B5C"/>
    <w:rsid w:val="62C17F4F"/>
    <w:rsid w:val="63400538"/>
    <w:rsid w:val="652171A8"/>
    <w:rsid w:val="66117BFB"/>
    <w:rsid w:val="66456B14"/>
    <w:rsid w:val="664F676D"/>
    <w:rsid w:val="678A1D5A"/>
    <w:rsid w:val="67973075"/>
    <w:rsid w:val="67B81568"/>
    <w:rsid w:val="67D33CC3"/>
    <w:rsid w:val="68B94EFF"/>
    <w:rsid w:val="6977016D"/>
    <w:rsid w:val="69835E19"/>
    <w:rsid w:val="6B065B1F"/>
    <w:rsid w:val="6C0367D5"/>
    <w:rsid w:val="6C6E48EB"/>
    <w:rsid w:val="6D0E2831"/>
    <w:rsid w:val="6D630F95"/>
    <w:rsid w:val="6D973E35"/>
    <w:rsid w:val="6E8027FE"/>
    <w:rsid w:val="6FB41021"/>
    <w:rsid w:val="709C530C"/>
    <w:rsid w:val="714479C8"/>
    <w:rsid w:val="72DB435C"/>
    <w:rsid w:val="72E01923"/>
    <w:rsid w:val="73483F22"/>
    <w:rsid w:val="73644352"/>
    <w:rsid w:val="73D6253C"/>
    <w:rsid w:val="73E3171A"/>
    <w:rsid w:val="747F57EB"/>
    <w:rsid w:val="74806197"/>
    <w:rsid w:val="74CA6887"/>
    <w:rsid w:val="74E719E4"/>
    <w:rsid w:val="74FF4332"/>
    <w:rsid w:val="75DA53AE"/>
    <w:rsid w:val="76860E97"/>
    <w:rsid w:val="76F00D49"/>
    <w:rsid w:val="774F285B"/>
    <w:rsid w:val="77893A9E"/>
    <w:rsid w:val="77B078BD"/>
    <w:rsid w:val="77DA2DE8"/>
    <w:rsid w:val="7816742F"/>
    <w:rsid w:val="786E5746"/>
    <w:rsid w:val="787F4D9F"/>
    <w:rsid w:val="78C0202A"/>
    <w:rsid w:val="78D715B5"/>
    <w:rsid w:val="798E0C86"/>
    <w:rsid w:val="79921C19"/>
    <w:rsid w:val="7997722F"/>
    <w:rsid w:val="79EB18FC"/>
    <w:rsid w:val="7A026AFE"/>
    <w:rsid w:val="7A8135BA"/>
    <w:rsid w:val="7AB24A76"/>
    <w:rsid w:val="7AFE32DE"/>
    <w:rsid w:val="7B140A2B"/>
    <w:rsid w:val="7B9D7BC9"/>
    <w:rsid w:val="7BE70F0F"/>
    <w:rsid w:val="7C105077"/>
    <w:rsid w:val="7C7E7607"/>
    <w:rsid w:val="7CB53B55"/>
    <w:rsid w:val="7CBD0FFC"/>
    <w:rsid w:val="7D1C7F07"/>
    <w:rsid w:val="7D5C21AC"/>
    <w:rsid w:val="7DEF1F0B"/>
    <w:rsid w:val="7E0754BE"/>
    <w:rsid w:val="7EAD61F4"/>
    <w:rsid w:val="7F81397C"/>
    <w:rsid w:val="7FFE5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1"/>
    <w:rPr>
      <w:rFonts w:ascii="仿宋" w:hAnsi="仿宋" w:eastAsia="仿宋" w:cs="仿宋"/>
      <w:sz w:val="32"/>
      <w:szCs w:val="32"/>
      <w:lang w:val="zh-CN" w:eastAsia="zh-CN" w:bidi="zh-CN"/>
    </w:rPr>
  </w:style>
  <w:style w:type="paragraph" w:customStyle="1" w:styleId="5">
    <w:name w:val="正文首行缩进1"/>
    <w:basedOn w:val="1"/>
    <w:qFormat/>
    <w:uiPriority w:val="0"/>
    <w:pPr>
      <w:widowControl w:val="0"/>
      <w:spacing w:after="120"/>
      <w:ind w:firstLine="420" w:firstLineChars="100"/>
      <w:jc w:val="both"/>
    </w:pPr>
    <w:rPr>
      <w:rFonts w:hint="eastAsia"/>
      <w:kern w:val="2"/>
      <w:sz w:val="21"/>
      <w:szCs w:val="20"/>
    </w:rPr>
  </w:style>
  <w:style w:type="paragraph" w:styleId="6">
    <w:name w:val="Body Text Indent"/>
    <w:basedOn w:val="1"/>
    <w:qFormat/>
    <w:uiPriority w:val="0"/>
    <w:pPr>
      <w:spacing w:after="12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tabs>
        <w:tab w:val="right" w:leader="dot" w:pos="8948"/>
      </w:tabs>
      <w:spacing w:line="440" w:lineRule="exact"/>
    </w:pPr>
  </w:style>
  <w:style w:type="paragraph" w:styleId="10">
    <w:name w:val="toc 2"/>
    <w:basedOn w:val="1"/>
    <w:next w:val="1"/>
    <w:unhideWhenUsed/>
    <w:qFormat/>
    <w:uiPriority w:val="39"/>
    <w:pPr>
      <w:tabs>
        <w:tab w:val="right" w:leader="dot" w:pos="8948"/>
      </w:tabs>
      <w:spacing w:line="360" w:lineRule="auto"/>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6"/>
    <w:unhideWhenUsed/>
    <w:qFormat/>
    <w:uiPriority w:val="0"/>
    <w:pPr>
      <w:ind w:firstLine="420"/>
    </w:pPr>
    <w:rPr>
      <w:rFonts w:ascii="Calibri" w:hAnsi="Calibri"/>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正文1"/>
    <w:basedOn w:val="1"/>
    <w:qFormat/>
    <w:uiPriority w:val="0"/>
    <w:pPr>
      <w:spacing w:line="480" w:lineRule="auto"/>
      <w:ind w:firstLine="200" w:firstLineChars="200"/>
    </w:pPr>
    <w:rPr>
      <w:rFonts w:eastAsia="仿宋"/>
    </w:rPr>
  </w:style>
  <w:style w:type="character" w:customStyle="1" w:styleId="17">
    <w:name w:val="font21"/>
    <w:basedOn w:val="14"/>
    <w:qFormat/>
    <w:uiPriority w:val="0"/>
    <w:rPr>
      <w:rFonts w:hint="eastAsia" w:ascii="宋体" w:hAnsi="宋体" w:eastAsia="宋体" w:cs="宋体"/>
      <w:b/>
      <w:bCs/>
      <w:color w:val="000000"/>
      <w:sz w:val="20"/>
      <w:szCs w:val="20"/>
      <w:u w:val="none"/>
    </w:rPr>
  </w:style>
  <w:style w:type="character" w:customStyle="1" w:styleId="18">
    <w:name w:val="font31"/>
    <w:basedOn w:val="14"/>
    <w:qFormat/>
    <w:uiPriority w:val="0"/>
    <w:rPr>
      <w:rFonts w:hint="eastAsia" w:ascii="宋体" w:hAnsi="宋体" w:eastAsia="宋体" w:cs="宋体"/>
      <w:color w:val="000000"/>
      <w:sz w:val="18"/>
      <w:szCs w:val="18"/>
      <w:u w:val="none"/>
    </w:rPr>
  </w:style>
  <w:style w:type="character" w:customStyle="1" w:styleId="19">
    <w:name w:val="font91"/>
    <w:basedOn w:val="14"/>
    <w:qFormat/>
    <w:uiPriority w:val="0"/>
    <w:rPr>
      <w:rFonts w:hint="default" w:ascii="Times New Roman" w:hAnsi="Times New Roman" w:cs="Times New Roman"/>
      <w:color w:val="000000"/>
      <w:sz w:val="18"/>
      <w:szCs w:val="18"/>
      <w:u w:val="none"/>
    </w:rPr>
  </w:style>
  <w:style w:type="character" w:customStyle="1" w:styleId="20">
    <w:name w:val="font101"/>
    <w:basedOn w:val="14"/>
    <w:qFormat/>
    <w:uiPriority w:val="0"/>
    <w:rPr>
      <w:rFonts w:ascii="Arial" w:hAnsi="Arial" w:cs="Arial"/>
      <w:color w:val="000000"/>
      <w:sz w:val="18"/>
      <w:szCs w:val="18"/>
      <w:u w:val="none"/>
    </w:rPr>
  </w:style>
  <w:style w:type="character" w:customStyle="1" w:styleId="21">
    <w:name w:val="font41"/>
    <w:basedOn w:val="14"/>
    <w:qFormat/>
    <w:uiPriority w:val="0"/>
    <w:rPr>
      <w:rFonts w:hint="eastAsia" w:ascii="仿宋" w:hAnsi="仿宋" w:eastAsia="仿宋" w:cs="仿宋"/>
      <w:color w:val="000000"/>
      <w:sz w:val="20"/>
      <w:szCs w:val="20"/>
      <w:u w:val="none"/>
    </w:rPr>
  </w:style>
  <w:style w:type="character" w:customStyle="1" w:styleId="22">
    <w:name w:val="font61"/>
    <w:basedOn w:val="14"/>
    <w:qFormat/>
    <w:uiPriority w:val="0"/>
    <w:rPr>
      <w:rFonts w:hint="eastAsia" w:ascii="仿宋" w:hAnsi="仿宋" w:eastAsia="仿宋" w:cs="仿宋"/>
      <w:color w:val="000000"/>
      <w:sz w:val="20"/>
      <w:szCs w:val="20"/>
      <w:u w:val="none"/>
    </w:rPr>
  </w:style>
  <w:style w:type="paragraph" w:customStyle="1" w:styleId="23">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11468</Words>
  <Characters>12398</Characters>
  <Lines>0</Lines>
  <Paragraphs>0</Paragraphs>
  <TotalTime>1</TotalTime>
  <ScaleCrop>false</ScaleCrop>
  <LinksUpToDate>false</LinksUpToDate>
  <CharactersWithSpaces>12894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2021-10-25T07:05:00Z</dcterms:created>
  <dc:creator>lenovo</dc:creator>
  <cp:lastModifiedBy>Administrator</cp:lastModifiedBy>
  <cp:lastPrinted>2023-11-27T07:10:00Z</cp:lastPrinted>
  <dcterms:modified xsi:type="dcterms:W3CDTF">2023-12-13T01:11:42Z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ACB55FB732074E55BFED28AC3006361F</vt:lpwstr>
  </property>
</Properties>
</file>