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麻阳苗族自治县郭公坪镇等4个乡镇长寿谷村等38个村高标准农田建设项目</w:t>
      </w:r>
    </w:p>
    <w:p>
      <w:pPr>
        <w:bidi w:val="0"/>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（二0二二年）绩效评价报告</w:t>
      </w:r>
    </w:p>
    <w:p>
      <w:pPr>
        <w:autoSpaceDE w:val="0"/>
        <w:spacing w:line="480" w:lineRule="auto"/>
        <w:jc w:val="center"/>
        <w:rPr>
          <w:rFonts w:hint="eastAsia" w:ascii="黑体" w:hAnsi="黑体" w:eastAsia="黑体"/>
          <w:sz w:val="44"/>
          <w:szCs w:val="44"/>
        </w:rPr>
      </w:pPr>
      <w:r>
        <w:rPr>
          <w:rFonts w:hint="eastAsia" w:ascii="黑体" w:hAnsi="黑体" w:eastAsia="黑体"/>
          <w:sz w:val="44"/>
          <w:szCs w:val="44"/>
        </w:rPr>
        <w:t xml:space="preserve"> </w:t>
      </w:r>
    </w:p>
    <w:p>
      <w:pPr>
        <w:autoSpaceDE w:val="0"/>
        <w:spacing w:line="480" w:lineRule="auto"/>
        <w:jc w:val="center"/>
        <w:rPr>
          <w:rFonts w:hint="eastAsia" w:ascii="黑体" w:hAnsi="宋体" w:eastAsia="黑体"/>
          <w:b/>
          <w:bCs/>
          <w:sz w:val="36"/>
          <w:szCs w:val="36"/>
        </w:rPr>
      </w:pPr>
      <w:r>
        <w:rPr>
          <w:rFonts w:hint="eastAsia" w:ascii="黑体" w:hAnsi="宋体" w:eastAsia="黑体"/>
          <w:b/>
          <w:bCs/>
          <w:sz w:val="36"/>
          <w:szCs w:val="36"/>
        </w:rPr>
        <w:t xml:space="preserve"> </w:t>
      </w:r>
    </w:p>
    <w:p>
      <w:pPr>
        <w:jc w:val="center"/>
        <w:rPr>
          <w:rFonts w:hint="eastAsia" w:ascii="宋体" w:hAnsi="宋体"/>
          <w:b/>
          <w:sz w:val="40"/>
          <w:szCs w:val="40"/>
          <w:u w:val="single"/>
        </w:rPr>
      </w:pPr>
      <w:r>
        <w:rPr>
          <w:rFonts w:hint="eastAsia" w:ascii="仿宋" w:hAnsi="仿宋" w:eastAsia="仿宋"/>
          <w:b/>
          <w:bCs/>
          <w:spacing w:val="-20"/>
          <w:sz w:val="36"/>
          <w:szCs w:val="36"/>
        </w:rPr>
        <w:t>湖南泰信</w:t>
      </w:r>
      <w:r>
        <w:rPr>
          <w:rFonts w:hint="eastAsia" w:ascii="仿宋" w:hAnsi="仿宋" w:eastAsia="仿宋"/>
          <w:spacing w:val="-20"/>
          <w:sz w:val="36"/>
          <w:szCs w:val="36"/>
        </w:rPr>
        <w:t>[</w:t>
      </w:r>
      <w:r>
        <w:rPr>
          <w:rFonts w:hint="eastAsia" w:ascii="仿宋" w:hAnsi="仿宋" w:eastAsia="仿宋"/>
          <w:b/>
          <w:bCs/>
          <w:spacing w:val="-20"/>
          <w:sz w:val="36"/>
          <w:szCs w:val="36"/>
        </w:rPr>
        <w:t>202</w:t>
      </w:r>
      <w:r>
        <w:rPr>
          <w:rFonts w:hint="eastAsia" w:ascii="仿宋" w:hAnsi="仿宋" w:eastAsia="仿宋"/>
          <w:b/>
          <w:bCs/>
          <w:spacing w:val="-20"/>
          <w:sz w:val="36"/>
          <w:szCs w:val="36"/>
          <w:lang w:val="en-US" w:eastAsia="zh-CN"/>
        </w:rPr>
        <w:t>3</w:t>
      </w:r>
      <w:r>
        <w:rPr>
          <w:rFonts w:hint="eastAsia" w:ascii="仿宋" w:hAnsi="仿宋" w:eastAsia="仿宋"/>
          <w:b/>
          <w:bCs/>
          <w:spacing w:val="-20"/>
          <w:sz w:val="36"/>
          <w:szCs w:val="36"/>
        </w:rPr>
        <w:t>]</w:t>
      </w:r>
      <w:r>
        <w:rPr>
          <w:rFonts w:hint="eastAsia" w:ascii="仿宋" w:hAnsi="仿宋" w:eastAsia="仿宋"/>
          <w:b/>
          <w:bCs/>
          <w:spacing w:val="-20"/>
          <w:sz w:val="36"/>
          <w:szCs w:val="36"/>
          <w:lang w:val="en-US" w:eastAsia="zh-CN"/>
        </w:rPr>
        <w:t>绩评</w:t>
      </w:r>
      <w:r>
        <w:rPr>
          <w:rFonts w:hint="eastAsia" w:ascii="仿宋" w:hAnsi="仿宋" w:eastAsia="仿宋"/>
          <w:b/>
          <w:bCs/>
          <w:spacing w:val="-20"/>
          <w:sz w:val="36"/>
          <w:szCs w:val="36"/>
        </w:rPr>
        <w:t>第</w:t>
      </w:r>
      <w:r>
        <w:rPr>
          <w:rFonts w:hint="eastAsia" w:ascii="仿宋" w:hAnsi="仿宋" w:eastAsia="仿宋"/>
          <w:b/>
          <w:bCs/>
          <w:spacing w:val="-20"/>
          <w:sz w:val="36"/>
          <w:szCs w:val="36"/>
          <w:lang w:val="en-US" w:eastAsia="zh-CN"/>
        </w:rPr>
        <w:t>66</w:t>
      </w:r>
      <w:bookmarkStart w:id="32" w:name="_GoBack"/>
      <w:bookmarkEnd w:id="32"/>
      <w:r>
        <w:rPr>
          <w:rFonts w:hint="eastAsia" w:ascii="仿宋" w:hAnsi="仿宋" w:eastAsia="仿宋"/>
          <w:b/>
          <w:bCs/>
          <w:spacing w:val="-20"/>
          <w:sz w:val="36"/>
          <w:szCs w:val="36"/>
        </w:rPr>
        <w:t>号</w:t>
      </w:r>
    </w:p>
    <w:p>
      <w:pPr>
        <w:jc w:val="center"/>
        <w:rPr>
          <w:rFonts w:hint="eastAsia" w:ascii="宋体" w:hAnsi="宋体"/>
          <w:b/>
          <w:sz w:val="40"/>
          <w:szCs w:val="40"/>
        </w:rPr>
      </w:pPr>
    </w:p>
    <w:p>
      <w:pPr>
        <w:jc w:val="center"/>
        <w:rPr>
          <w:rFonts w:hint="eastAsia"/>
          <w:bCs/>
          <w:sz w:val="40"/>
          <w:szCs w:val="40"/>
        </w:rPr>
      </w:pPr>
      <w:r>
        <w:rPr>
          <w:bCs/>
          <w:sz w:val="40"/>
          <w:szCs w:val="40"/>
        </w:rPr>
        <w:t xml:space="preserve"> </w:t>
      </w:r>
    </w:p>
    <w:p>
      <w:pPr>
        <w:jc w:val="center"/>
        <w:rPr>
          <w:rFonts w:ascii="宋体" w:hAnsi="宋体"/>
          <w:b/>
          <w:sz w:val="40"/>
          <w:szCs w:val="40"/>
        </w:rPr>
      </w:pPr>
      <w:r>
        <w:rPr>
          <w:rFonts w:hint="eastAsia" w:ascii="宋体" w:hAnsi="宋体"/>
          <w:b/>
          <w:sz w:val="40"/>
          <w:szCs w:val="40"/>
        </w:rPr>
        <w:t xml:space="preserve"> </w:t>
      </w:r>
    </w:p>
    <w:p>
      <w:pPr>
        <w:rPr>
          <w:rFonts w:hint="eastAsia" w:ascii="MS UI Gothic" w:hAnsi="MS UI Gothic" w:cs="MS UI Gothic"/>
          <w:spacing w:val="60"/>
          <w:sz w:val="44"/>
          <w:szCs w:val="44"/>
        </w:rPr>
      </w:pPr>
      <w:r>
        <w:rPr>
          <w:rFonts w:ascii="MS UI Gothic" w:hAnsi="MS UI Gothic" w:cs="MS UI Gothic"/>
          <w:spacing w:val="60"/>
          <w:sz w:val="44"/>
          <w:szCs w:val="44"/>
        </w:rPr>
        <w:t xml:space="preserve"> </w:t>
      </w:r>
    </w:p>
    <w:p>
      <w:pPr>
        <w:rPr>
          <w:rFonts w:ascii="MS UI Gothic" w:hAnsi="MS UI Gothic" w:cs="MS UI Gothic"/>
          <w:spacing w:val="60"/>
          <w:sz w:val="44"/>
          <w:szCs w:val="44"/>
        </w:rPr>
      </w:pPr>
      <w:r>
        <w:rPr>
          <w:rFonts w:ascii="MS UI Gothic" w:hAnsi="MS UI Gothic" w:cs="MS UI Gothic"/>
          <w:spacing w:val="60"/>
          <w:sz w:val="44"/>
          <w:szCs w:val="44"/>
        </w:rPr>
        <w:t xml:space="preserve"> </w:t>
      </w:r>
    </w:p>
    <w:p>
      <w:pPr>
        <w:rPr>
          <w:rFonts w:ascii="MS UI Gothic" w:hAnsi="MS UI Gothic" w:cs="MS UI Gothic"/>
          <w:spacing w:val="60"/>
          <w:sz w:val="44"/>
          <w:szCs w:val="44"/>
        </w:rPr>
      </w:pPr>
      <w:r>
        <w:rPr>
          <w:rFonts w:ascii="MS UI Gothic" w:hAnsi="MS UI Gothic" w:cs="MS UI Gothic"/>
          <w:spacing w:val="60"/>
          <w:sz w:val="44"/>
          <w:szCs w:val="44"/>
        </w:rPr>
        <w:t xml:space="preserve"> </w:t>
      </w:r>
    </w:p>
    <w:p>
      <w:pPr>
        <w:jc w:val="center"/>
        <w:rPr>
          <w:rFonts w:ascii="MS UI Gothic" w:hAnsi="MS UI Gothic" w:cs="MS UI Gothic"/>
          <w:spacing w:val="60"/>
          <w:sz w:val="44"/>
          <w:szCs w:val="44"/>
        </w:rPr>
      </w:pPr>
      <w:r>
        <w:rPr>
          <w:rFonts w:ascii="MS UI Gothic" w:hAnsi="MS UI Gothic" w:cs="MS UI Gothic"/>
          <w:spacing w:val="60"/>
          <w:sz w:val="44"/>
          <w:szCs w:val="44"/>
        </w:rPr>
        <w:t xml:space="preserve"> </w:t>
      </w:r>
    </w:p>
    <w:p>
      <w:pPr>
        <w:jc w:val="center"/>
        <w:rPr>
          <w:rFonts w:ascii="MS UI Gothic" w:hAnsi="MS UI Gothic" w:cs="MS UI Gothic"/>
          <w:spacing w:val="60"/>
          <w:sz w:val="44"/>
          <w:szCs w:val="44"/>
        </w:rPr>
      </w:pPr>
      <w:r>
        <w:rPr>
          <w:rFonts w:ascii="MS UI Gothic" w:hAnsi="MS UI Gothic" w:cs="MS UI Gothic"/>
          <w:spacing w:val="60"/>
          <w:sz w:val="44"/>
          <w:szCs w:val="44"/>
        </w:rPr>
        <w:t xml:space="preserve"> </w:t>
      </w:r>
    </w:p>
    <w:p>
      <w:pPr>
        <w:rPr>
          <w:rFonts w:ascii="MS UI Gothic" w:hAnsi="MS UI Gothic" w:cs="MS UI Gothic"/>
          <w:spacing w:val="60"/>
          <w:sz w:val="44"/>
          <w:szCs w:val="44"/>
        </w:rPr>
      </w:pPr>
      <w:r>
        <w:rPr>
          <w:rFonts w:ascii="MS UI Gothic" w:hAnsi="MS UI Gothic" w:cs="MS UI Gothic"/>
          <w:spacing w:val="60"/>
          <w:sz w:val="44"/>
          <w:szCs w:val="44"/>
        </w:rPr>
        <w:t xml:space="preserve"> </w:t>
      </w:r>
    </w:p>
    <w:p>
      <w:pPr>
        <w:jc w:val="center"/>
        <w:rPr>
          <w:rFonts w:ascii="宋体" w:hAnsi="宋体"/>
          <w:spacing w:val="60"/>
          <w:sz w:val="36"/>
          <w:szCs w:val="36"/>
        </w:rPr>
      </w:pPr>
      <w:r>
        <w:rPr>
          <w:rFonts w:hint="eastAsia" w:ascii="宋体" w:hAnsi="宋体"/>
          <w:spacing w:val="60"/>
          <w:sz w:val="36"/>
          <w:szCs w:val="36"/>
        </w:rPr>
        <w:t>湖南泰信会计师事务所有限公司</w:t>
      </w:r>
    </w:p>
    <w:p>
      <w:pPr>
        <w:pBdr>
          <w:bottom w:val="single" w:color="auto" w:sz="12" w:space="1"/>
        </w:pBdr>
        <w:jc w:val="center"/>
        <w:rPr>
          <w:rFonts w:hint="eastAsia" w:ascii="宋体" w:hAnsi="宋体"/>
          <w:b/>
          <w:sz w:val="36"/>
          <w:szCs w:val="36"/>
        </w:rPr>
      </w:pPr>
      <w:r>
        <w:rPr>
          <w:rFonts w:hint="eastAsia" w:ascii="宋体" w:hAnsi="宋体"/>
          <w:sz w:val="36"/>
          <w:szCs w:val="36"/>
        </w:rPr>
        <w:t xml:space="preserve">HUNAN TAIXIN CERTIFIED PUBLIC ACCOUNTANTS CO.LTD    </w:t>
      </w:r>
      <w:r>
        <w:rPr>
          <w:rFonts w:hint="eastAsia" w:ascii="宋体" w:hAnsi="宋体"/>
          <w:b/>
          <w:sz w:val="36"/>
          <w:szCs w:val="36"/>
        </w:rPr>
        <w:t>湖南●怀化</w:t>
      </w:r>
    </w:p>
    <w:p>
      <w:pPr>
        <w:autoSpaceDE w:val="0"/>
        <w:spacing w:line="480" w:lineRule="auto"/>
        <w:rPr>
          <w:rFonts w:ascii="方正小标宋简体" w:eastAsia="方正小标宋简体"/>
          <w:sz w:val="52"/>
          <w:szCs w:val="52"/>
        </w:rPr>
      </w:pPr>
      <w:r>
        <w:rPr>
          <w:rFonts w:hint="eastAsia" w:ascii="宋体" w:hAnsi="宋体"/>
          <w:b/>
          <w:bCs/>
          <w:sz w:val="48"/>
          <w:szCs w:val="48"/>
        </w:rPr>
        <w:t xml:space="preserve"> </w:t>
      </w:r>
    </w:p>
    <w:p>
      <w:pPr>
        <w:adjustRightInd w:val="0"/>
        <w:snapToGrid w:val="0"/>
        <w:spacing w:line="600" w:lineRule="exact"/>
        <w:ind w:firstLine="1040" w:firstLineChars="200"/>
        <w:rPr>
          <w:rFonts w:ascii="方正小标宋简体" w:eastAsia="方正小标宋简体"/>
          <w:sz w:val="52"/>
          <w:szCs w:val="52"/>
        </w:rPr>
      </w:pPr>
    </w:p>
    <w:p>
      <w:pPr>
        <w:keepNext w:val="0"/>
        <w:keepLines w:val="0"/>
        <w:pageBreakBefore w:val="0"/>
        <w:widowControl/>
        <w:kinsoku w:val="0"/>
        <w:wordWrap/>
        <w:overflowPunct/>
        <w:topLinePunct w:val="0"/>
        <w:autoSpaceDE w:val="0"/>
        <w:autoSpaceDN w:val="0"/>
        <w:bidi w:val="0"/>
        <w:adjustRightInd w:val="0"/>
        <w:snapToGrid w:val="0"/>
        <w:spacing w:before="0" w:after="0"/>
        <w:jc w:val="both"/>
        <w:textAlignment w:val="baseline"/>
        <w:outlineLvl w:val="9"/>
        <w:rPr>
          <w:rFonts w:hint="eastAsia" w:ascii="仿宋" w:hAnsi="仿宋" w:eastAsia="仿宋" w:cs="仿宋"/>
          <w:color w:val="auto"/>
          <w:spacing w:val="-2"/>
          <w:sz w:val="30"/>
          <w:szCs w:val="30"/>
          <w:highlight w:val="none"/>
          <w14:textOutline w14:w="5448" w14:cap="sq" w14:cmpd="sng">
            <w14:solidFill>
              <w14:srgbClr w14:val="00000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before="0" w:after="0"/>
        <w:jc w:val="both"/>
        <w:textAlignment w:val="baseline"/>
        <w:rPr>
          <w:rFonts w:hint="eastAsia" w:ascii="仿宋" w:hAnsi="仿宋" w:eastAsia="仿宋" w:cs="仿宋"/>
          <w:color w:val="auto"/>
          <w:highlight w:val="none"/>
        </w:rPr>
      </w:pPr>
    </w:p>
    <w:p>
      <w:pPr>
        <w:adjustRightInd w:val="0"/>
        <w:snapToGrid w:val="0"/>
        <w:spacing w:line="600" w:lineRule="exact"/>
        <w:jc w:val="center"/>
        <w:rPr>
          <w:rFonts w:hint="eastAsia" w:ascii="黑体" w:hAnsi="黑体" w:eastAsia="黑体" w:cs="黑体"/>
          <w:sz w:val="44"/>
          <w:szCs w:val="44"/>
          <w:lang w:val="en-US" w:eastAsia="zh-CN"/>
        </w:rPr>
      </w:pPr>
    </w:p>
    <w:p>
      <w:pPr>
        <w:adjustRightInd w:val="0"/>
        <w:snapToGrid w:val="0"/>
        <w:spacing w:line="600" w:lineRule="exact"/>
        <w:jc w:val="center"/>
        <w:rPr>
          <w:rFonts w:hint="eastAsia" w:ascii="黑体" w:hAnsi="黑体" w:eastAsia="黑体" w:cs="黑体"/>
          <w:sz w:val="44"/>
          <w:szCs w:val="44"/>
          <w:lang w:val="en-US" w:eastAsia="zh-CN"/>
        </w:rPr>
      </w:pPr>
    </w:p>
    <w:p>
      <w:pPr>
        <w:bidi w:val="0"/>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麻阳苗族自治县郭公坪镇等4个乡镇长寿谷村等38个村高标准农田建设项目</w:t>
      </w:r>
    </w:p>
    <w:p>
      <w:pPr>
        <w:bidi w:val="0"/>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（二0二二年）绩效评价报告</w:t>
      </w:r>
    </w:p>
    <w:p>
      <w:pPr>
        <w:adjustRightInd w:val="0"/>
        <w:snapToGrid w:val="0"/>
        <w:spacing w:line="600" w:lineRule="exact"/>
        <w:ind w:firstLine="1040" w:firstLineChars="200"/>
        <w:rPr>
          <w:rFonts w:ascii="方正小标宋简体" w:eastAsia="方正小标宋简体"/>
          <w:sz w:val="52"/>
          <w:szCs w:val="52"/>
        </w:rPr>
      </w:pPr>
    </w:p>
    <w:p>
      <w:pPr>
        <w:pStyle w:val="4"/>
      </w:pPr>
    </w:p>
    <w:p>
      <w:pPr>
        <w:adjustRightInd w:val="0"/>
        <w:snapToGrid w:val="0"/>
        <w:spacing w:line="600" w:lineRule="exact"/>
        <w:ind w:firstLine="1040" w:firstLineChars="200"/>
        <w:rPr>
          <w:rFonts w:ascii="方正小标宋简体" w:eastAsia="方正小标宋简体"/>
          <w:sz w:val="52"/>
          <w:szCs w:val="52"/>
        </w:rPr>
      </w:pPr>
    </w:p>
    <w:p>
      <w:pPr>
        <w:adjustRightInd w:val="0"/>
        <w:snapToGrid w:val="0"/>
        <w:spacing w:line="600" w:lineRule="exact"/>
        <w:ind w:firstLine="1040" w:firstLineChars="200"/>
        <w:rPr>
          <w:rFonts w:ascii="方正小标宋简体" w:eastAsia="方正小标宋简体"/>
          <w:sz w:val="52"/>
          <w:szCs w:val="52"/>
        </w:rPr>
      </w:pPr>
    </w:p>
    <w:p>
      <w:pPr>
        <w:adjustRightInd w:val="0"/>
        <w:snapToGrid w:val="0"/>
        <w:spacing w:line="600" w:lineRule="exact"/>
        <w:ind w:firstLine="1040" w:firstLineChars="200"/>
        <w:rPr>
          <w:rFonts w:ascii="方正小标宋简体" w:eastAsia="方正小标宋简体"/>
          <w:sz w:val="52"/>
          <w:szCs w:val="52"/>
        </w:rPr>
      </w:pPr>
    </w:p>
    <w:p>
      <w:pPr>
        <w:bidi w:val="0"/>
        <w:jc w:val="center"/>
        <w:rPr>
          <w:rFonts w:hint="eastAsia" w:ascii="Times New Roman" w:hAnsi="Times New Roman" w:eastAsia="仿宋_GB2312" w:cs="Times New Roman"/>
          <w:sz w:val="32"/>
          <w:szCs w:val="32"/>
          <w:u w:val="single"/>
          <w:lang w:val="en-US" w:eastAsia="zh-CN"/>
        </w:rPr>
      </w:pPr>
      <w:r>
        <w:rPr>
          <w:rFonts w:hint="eastAsia" w:ascii="黑体" w:hAnsi="黑体" w:eastAsia="黑体" w:cs="Times New Roman"/>
          <w:sz w:val="32"/>
          <w:szCs w:val="32"/>
          <w:lang w:val="en-US" w:eastAsia="zh-CN"/>
        </w:rPr>
        <w:t xml:space="preserve">    </w:t>
      </w:r>
      <w:r>
        <w:rPr>
          <w:rFonts w:hint="eastAsia" w:ascii="黑体" w:hAnsi="黑体" w:eastAsia="黑体" w:cs="Times New Roman"/>
          <w:sz w:val="32"/>
          <w:szCs w:val="32"/>
          <w:lang w:eastAsia="zh-CN"/>
        </w:rPr>
        <w:t>项目名称：</w:t>
      </w:r>
      <w:r>
        <w:rPr>
          <w:rFonts w:hint="eastAsia" w:ascii="Times New Roman" w:hAnsi="Times New Roman" w:eastAsia="仿宋_GB2312" w:cs="Times New Roman"/>
          <w:sz w:val="32"/>
          <w:szCs w:val="32"/>
          <w:u w:val="single"/>
          <w:lang w:val="en-US" w:eastAsia="zh-CN"/>
        </w:rPr>
        <w:t>麻阳苗族自治县郭公坪镇等4个乡镇长寿谷村等</w:t>
      </w:r>
    </w:p>
    <w:p>
      <w:pPr>
        <w:bidi w:val="0"/>
        <w:ind w:firstLine="2240" w:firstLineChars="700"/>
        <w:jc w:val="both"/>
        <w:rPr>
          <w:rFonts w:hint="default" w:ascii="Times New Roman" w:hAnsi="Times New Roman" w:eastAsia="仿宋_GB2312" w:cs="Times New Roman"/>
          <w:sz w:val="32"/>
          <w:szCs w:val="32"/>
          <w:u w:val="single"/>
          <w:lang w:val="en-US" w:eastAsia="zh-CN"/>
        </w:rPr>
      </w:pPr>
      <w:r>
        <w:rPr>
          <w:rFonts w:hint="eastAsia" w:ascii="Times New Roman" w:hAnsi="Times New Roman" w:eastAsia="仿宋_GB2312" w:cs="Times New Roman"/>
          <w:sz w:val="32"/>
          <w:szCs w:val="32"/>
          <w:u w:val="single"/>
          <w:lang w:val="en-US" w:eastAsia="zh-CN"/>
        </w:rPr>
        <w:t xml:space="preserve">等38个村高标准农田建设项目（二0二二年）                            </w:t>
      </w:r>
    </w:p>
    <w:p>
      <w:pPr>
        <w:adjustRightInd w:val="0"/>
        <w:snapToGrid w:val="0"/>
        <w:spacing w:line="600" w:lineRule="exact"/>
        <w:ind w:firstLine="640" w:firstLineChars="200"/>
        <w:rPr>
          <w:rFonts w:hint="default" w:ascii="Times New Roman" w:hAnsi="Times New Roman" w:eastAsia="仿宋_GB2312" w:cs="Times New Roman"/>
          <w:sz w:val="32"/>
          <w:szCs w:val="32"/>
          <w:u w:val="single"/>
          <w:lang w:val="en-US" w:eastAsia="zh-CN"/>
        </w:rPr>
      </w:pPr>
      <w:r>
        <w:rPr>
          <w:rFonts w:hint="eastAsia" w:ascii="黑体" w:hAnsi="黑体" w:eastAsia="黑体" w:cs="Times New Roman"/>
          <w:sz w:val="32"/>
          <w:szCs w:val="32"/>
          <w:lang w:val="en-US" w:eastAsia="zh-CN"/>
        </w:rPr>
        <w:t>组织单位</w:t>
      </w:r>
      <w:r>
        <w:rPr>
          <w:rFonts w:hint="eastAsia" w:ascii="黑体" w:hAnsi="黑体" w:eastAsia="黑体" w:cs="Times New Roman"/>
          <w:sz w:val="32"/>
          <w:szCs w:val="32"/>
          <w:lang w:eastAsia="zh-CN"/>
        </w:rPr>
        <w:t>：</w:t>
      </w:r>
      <w:r>
        <w:rPr>
          <w:rFonts w:hint="eastAsia" w:ascii="Times New Roman" w:hAnsi="Times New Roman" w:eastAsia="仿宋_GB2312" w:cs="Times New Roman"/>
          <w:sz w:val="32"/>
          <w:szCs w:val="32"/>
          <w:u w:val="single"/>
          <w:lang w:val="en-US" w:eastAsia="zh-CN"/>
        </w:rPr>
        <w:t xml:space="preserve"> 麻阳苗族自治县财政局                    </w:t>
      </w:r>
    </w:p>
    <w:p>
      <w:pPr>
        <w:adjustRightInd w:val="0"/>
        <w:snapToGrid w:val="0"/>
        <w:spacing w:line="600" w:lineRule="exact"/>
        <w:ind w:firstLine="640" w:firstLineChars="200"/>
        <w:rPr>
          <w:rFonts w:hint="eastAsia" w:ascii="Times New Roman" w:hAnsi="Times New Roman" w:eastAsia="仿宋_GB2312"/>
          <w:sz w:val="32"/>
          <w:szCs w:val="32"/>
          <w:u w:val="single"/>
          <w:lang w:val="en-US" w:eastAsia="zh-CN"/>
        </w:rPr>
      </w:pPr>
      <w:r>
        <w:rPr>
          <w:rFonts w:hint="eastAsia" w:ascii="黑体" w:hAnsi="黑体" w:eastAsia="黑体" w:cs="Times New Roman"/>
          <w:sz w:val="32"/>
          <w:szCs w:val="32"/>
          <w:lang w:eastAsia="zh-CN"/>
        </w:rPr>
        <w:t>项目实施单位</w:t>
      </w:r>
      <w:r>
        <w:rPr>
          <w:rFonts w:hint="eastAsia" w:ascii="黑体" w:hAnsi="黑体" w:eastAsia="黑体"/>
          <w:sz w:val="32"/>
          <w:szCs w:val="32"/>
        </w:rPr>
        <w:t>：</w:t>
      </w:r>
      <w:r>
        <w:rPr>
          <w:rFonts w:hint="eastAsia" w:ascii="Times New Roman" w:hAnsi="Times New Roman" w:eastAsia="仿宋_GB2312" w:cs="Times New Roman"/>
          <w:sz w:val="32"/>
          <w:szCs w:val="32"/>
          <w:u w:val="single"/>
          <w:lang w:val="en-US" w:eastAsia="zh-CN"/>
        </w:rPr>
        <w:t>麻阳苗族自治县农业农村局</w:t>
      </w:r>
      <w:r>
        <w:rPr>
          <w:rFonts w:hint="eastAsia" w:ascii="Times New Roman" w:hAnsi="Times New Roman" w:eastAsia="仿宋_GB2312"/>
          <w:sz w:val="32"/>
          <w:szCs w:val="32"/>
          <w:u w:val="single"/>
        </w:rPr>
        <w:t xml:space="preserve">              </w:t>
      </w:r>
      <w:r>
        <w:rPr>
          <w:rFonts w:hint="eastAsia" w:ascii="Times New Roman" w:hAnsi="Times New Roman" w:eastAsia="仿宋_GB2312"/>
          <w:sz w:val="32"/>
          <w:szCs w:val="32"/>
          <w:u w:val="single"/>
          <w:lang w:val="en-US" w:eastAsia="zh-CN"/>
        </w:rPr>
        <w:t xml:space="preserve">    </w:t>
      </w:r>
    </w:p>
    <w:p>
      <w:pPr>
        <w:adjustRightInd w:val="0"/>
        <w:snapToGrid w:val="0"/>
        <w:spacing w:line="600" w:lineRule="exact"/>
        <w:ind w:firstLine="640" w:firstLineChars="200"/>
        <w:rPr>
          <w:rFonts w:hint="default" w:ascii="Times New Roman" w:hAnsi="Times New Roman" w:eastAsia="仿宋_GB2312"/>
          <w:sz w:val="32"/>
          <w:szCs w:val="32"/>
          <w:lang w:val="en-US" w:eastAsia="zh-CN"/>
        </w:rPr>
      </w:pPr>
      <w:r>
        <w:rPr>
          <w:rFonts w:hint="eastAsia" w:ascii="黑体" w:hAnsi="黑体" w:eastAsia="黑体"/>
          <w:sz w:val="32"/>
          <w:szCs w:val="32"/>
          <w:lang w:val="en-US" w:eastAsia="zh-CN"/>
        </w:rPr>
        <w:t>评价</w:t>
      </w:r>
      <w:r>
        <w:rPr>
          <w:rFonts w:hint="eastAsia" w:ascii="黑体" w:hAnsi="黑体" w:eastAsia="黑体"/>
          <w:sz w:val="32"/>
          <w:szCs w:val="32"/>
        </w:rPr>
        <w:t>机构：</w:t>
      </w:r>
      <w:r>
        <w:rPr>
          <w:rFonts w:hint="eastAsia" w:ascii="Times New Roman" w:hAnsi="Times New Roman" w:eastAsia="仿宋_GB2312"/>
          <w:sz w:val="32"/>
          <w:szCs w:val="32"/>
          <w:u w:val="single"/>
        </w:rPr>
        <w:t xml:space="preserve"> 湖南泰信会计师事务所有限公司</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lang w:val="en-US" w:eastAsia="zh-CN"/>
        </w:rPr>
        <w:t xml:space="preserve">           </w:t>
      </w:r>
    </w:p>
    <w:p>
      <w:pPr>
        <w:snapToGrid w:val="0"/>
        <w:spacing w:line="560" w:lineRule="exact"/>
        <w:ind w:firstLine="1280" w:firstLineChars="400"/>
        <w:jc w:val="both"/>
        <w:rPr>
          <w:rFonts w:hint="eastAsia" w:eastAsia="仿宋_GB2312"/>
          <w:sz w:val="32"/>
          <w:szCs w:val="32"/>
          <w:lang w:val="en-US" w:eastAsia="zh-CN"/>
        </w:rPr>
      </w:pPr>
    </w:p>
    <w:p>
      <w:pPr>
        <w:snapToGrid w:val="0"/>
        <w:spacing w:line="560" w:lineRule="exact"/>
        <w:ind w:firstLine="1280" w:firstLineChars="400"/>
        <w:jc w:val="both"/>
        <w:rPr>
          <w:rFonts w:hint="eastAsia" w:eastAsia="仿宋_GB2312"/>
          <w:sz w:val="32"/>
          <w:szCs w:val="32"/>
          <w:lang w:val="en-US" w:eastAsia="zh-CN"/>
        </w:rPr>
      </w:pPr>
    </w:p>
    <w:p>
      <w:pPr>
        <w:snapToGrid w:val="0"/>
        <w:spacing w:line="560" w:lineRule="exact"/>
        <w:ind w:firstLine="1280" w:firstLineChars="400"/>
        <w:jc w:val="both"/>
        <w:rPr>
          <w:rFonts w:hint="eastAsia" w:eastAsia="仿宋_GB2312"/>
          <w:sz w:val="32"/>
          <w:szCs w:val="32"/>
          <w:lang w:val="en-US" w:eastAsia="zh-CN"/>
        </w:rPr>
      </w:pPr>
    </w:p>
    <w:p>
      <w:pPr>
        <w:snapToGrid w:val="0"/>
        <w:spacing w:line="560" w:lineRule="exact"/>
        <w:ind w:firstLine="1280" w:firstLineChars="400"/>
        <w:jc w:val="both"/>
        <w:rPr>
          <w:rFonts w:hint="eastAsia" w:eastAsia="仿宋_GB2312"/>
          <w:sz w:val="32"/>
          <w:szCs w:val="32"/>
          <w:lang w:val="en-US" w:eastAsia="zh-CN"/>
        </w:rPr>
      </w:pPr>
    </w:p>
    <w:p>
      <w:pPr>
        <w:snapToGrid w:val="0"/>
        <w:spacing w:line="560" w:lineRule="exact"/>
        <w:ind w:firstLine="1280" w:firstLineChars="400"/>
        <w:jc w:val="both"/>
        <w:rPr>
          <w:rFonts w:hint="eastAsia" w:eastAsia="仿宋_GB2312"/>
          <w:sz w:val="32"/>
          <w:szCs w:val="32"/>
          <w:lang w:val="en-US" w:eastAsia="zh-CN"/>
        </w:rPr>
      </w:pPr>
    </w:p>
    <w:p>
      <w:pPr>
        <w:snapToGrid w:val="0"/>
        <w:spacing w:line="560" w:lineRule="exact"/>
        <w:ind w:firstLine="1280" w:firstLineChars="400"/>
        <w:jc w:val="center"/>
        <w:rPr>
          <w:rFonts w:hint="eastAsia" w:eastAsia="仿宋_GB2312"/>
          <w:sz w:val="32"/>
          <w:szCs w:val="32"/>
          <w:lang w:val="en-US" w:eastAsia="zh-CN"/>
        </w:rPr>
      </w:pPr>
    </w:p>
    <w:p>
      <w:pPr>
        <w:snapToGrid w:val="0"/>
        <w:spacing w:line="560" w:lineRule="exact"/>
        <w:ind w:firstLine="1280" w:firstLineChars="400"/>
        <w:jc w:val="center"/>
        <w:rPr>
          <w:rFonts w:hint="eastAsia" w:eastAsia="仿宋_GB2312"/>
          <w:sz w:val="32"/>
          <w:szCs w:val="32"/>
          <w:lang w:val="en-US" w:eastAsia="zh-CN"/>
        </w:rPr>
      </w:pPr>
    </w:p>
    <w:p>
      <w:pPr>
        <w:snapToGrid w:val="0"/>
        <w:spacing w:line="560" w:lineRule="exact"/>
        <w:jc w:val="center"/>
        <w:rPr>
          <w:b/>
          <w:bCs/>
          <w:color w:val="auto"/>
          <w:lang w:val="zh-CN"/>
        </w:rPr>
        <w:sectPr>
          <w:footerReference r:id="rId7" w:type="first"/>
          <w:footerReference r:id="rId6" w:type="default"/>
          <w:headerReference r:id="rId5" w:type="even"/>
          <w:pgSz w:w="11906" w:h="16838"/>
          <w:pgMar w:top="1701" w:right="1587" w:bottom="1474" w:left="1587" w:header="851" w:footer="992" w:gutter="0"/>
          <w:pgNumType w:fmt="decimal" w:start="1"/>
          <w:cols w:space="720" w:num="1"/>
          <w:titlePg/>
          <w:docGrid w:linePitch="312" w:charSpace="0"/>
        </w:sectPr>
      </w:pPr>
      <w:r>
        <w:rPr>
          <w:rFonts w:hint="eastAsia" w:eastAsia="仿宋_GB2312"/>
          <w:sz w:val="32"/>
          <w:szCs w:val="32"/>
          <w:lang w:val="en-US" w:eastAsia="zh-CN"/>
        </w:rPr>
        <w:t>二○二三年十月二十九日</w:t>
      </w:r>
    </w:p>
    <w:p>
      <w:pPr>
        <w:pStyle w:val="16"/>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0" w:firstLineChars="0"/>
        <w:jc w:val="center"/>
        <w:textAlignment w:val="baseline"/>
        <w:rPr>
          <w:rFonts w:hint="eastAsia" w:ascii="仿宋" w:hAnsi="仿宋" w:eastAsia="仿宋" w:cs="仿宋"/>
          <w:sz w:val="32"/>
          <w:szCs w:val="32"/>
        </w:rPr>
      </w:pPr>
      <w:r>
        <w:rPr>
          <w:rFonts w:hint="eastAsia" w:ascii="仿宋" w:hAnsi="仿宋" w:eastAsia="仿宋" w:cs="仿宋"/>
          <w:sz w:val="32"/>
          <w:szCs w:val="32"/>
          <w:lang w:val="zh-CN"/>
        </w:rPr>
        <w:t>目  录</w:t>
      </w:r>
    </w:p>
    <w:p>
      <w:pPr>
        <w:pStyle w:val="9"/>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 w:val="0"/>
          <w:bCs/>
          <w:sz w:val="21"/>
          <w:szCs w:val="21"/>
          <w:lang w:val="zh-CN"/>
        </w:rPr>
        <w:fldChar w:fldCharType="begin"/>
      </w:r>
      <w:r>
        <w:rPr>
          <w:rFonts w:hint="eastAsia" w:ascii="仿宋" w:hAnsi="仿宋" w:eastAsia="仿宋" w:cs="仿宋"/>
          <w:b w:val="0"/>
          <w:bCs/>
          <w:sz w:val="21"/>
          <w:szCs w:val="21"/>
          <w:lang w:val="zh-CN"/>
        </w:rPr>
        <w:instrText xml:space="preserve"> TOC \o "1-3" \h \z \u </w:instrText>
      </w:r>
      <w:r>
        <w:rPr>
          <w:rFonts w:hint="eastAsia" w:ascii="仿宋" w:hAnsi="仿宋" w:eastAsia="仿宋" w:cs="仿宋"/>
          <w:b w:val="0"/>
          <w:bCs/>
          <w:sz w:val="21"/>
          <w:szCs w:val="21"/>
          <w:lang w:val="zh-CN"/>
        </w:rPr>
        <w:fldChar w:fldCharType="separate"/>
      </w: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_Toc15916 </w:instrText>
      </w:r>
      <w:r>
        <w:rPr>
          <w:rFonts w:hint="eastAsia" w:ascii="仿宋" w:hAnsi="仿宋" w:eastAsia="仿宋" w:cs="仿宋"/>
          <w:bCs/>
          <w:szCs w:val="21"/>
          <w:lang w:val="zh-CN"/>
        </w:rPr>
        <w:fldChar w:fldCharType="separate"/>
      </w:r>
      <w:r>
        <w:rPr>
          <w:rFonts w:hint="eastAsia" w:ascii="仿宋" w:hAnsi="仿宋" w:eastAsia="仿宋" w:cs="仿宋"/>
          <w:bCs/>
          <w:snapToGrid/>
          <w:szCs w:val="44"/>
          <w:lang w:val="en-US" w:eastAsia="zh-CN" w:bidi="ar-SA"/>
        </w:rPr>
        <w:t>一、项目基本情况</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_Toc15916 \h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_Toc20893 </w:instrText>
      </w:r>
      <w:r>
        <w:rPr>
          <w:rFonts w:hint="eastAsia" w:ascii="仿宋" w:hAnsi="仿宋" w:eastAsia="仿宋" w:cs="仿宋"/>
          <w:bCs/>
          <w:szCs w:val="21"/>
          <w:lang w:val="zh-CN"/>
        </w:rPr>
        <w:fldChar w:fldCharType="separate"/>
      </w:r>
      <w:r>
        <w:rPr>
          <w:rFonts w:hint="eastAsia" w:ascii="仿宋" w:hAnsi="仿宋" w:eastAsia="仿宋" w:cs="仿宋"/>
          <w:bCs/>
          <w:snapToGrid/>
          <w:kern w:val="2"/>
          <w:szCs w:val="32"/>
          <w:lang w:val="en-US" w:eastAsia="zh-CN" w:bidi="ar-SA"/>
        </w:rPr>
        <w:t>（一） 项目概况</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_Toc20893 \h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_Toc32159 </w:instrText>
      </w:r>
      <w:r>
        <w:rPr>
          <w:rFonts w:hint="eastAsia" w:ascii="仿宋" w:hAnsi="仿宋" w:eastAsia="仿宋" w:cs="仿宋"/>
          <w:bCs/>
          <w:szCs w:val="21"/>
          <w:lang w:val="zh-CN"/>
        </w:rPr>
        <w:fldChar w:fldCharType="separate"/>
      </w:r>
      <w:r>
        <w:rPr>
          <w:rFonts w:hint="eastAsia" w:ascii="仿宋" w:hAnsi="仿宋" w:eastAsia="仿宋" w:cs="仿宋"/>
          <w:bCs/>
          <w:snapToGrid/>
          <w:kern w:val="2"/>
          <w:szCs w:val="32"/>
          <w:lang w:val="en-US" w:eastAsia="zh-CN" w:bidi="ar-SA"/>
        </w:rPr>
        <w:t>（二）项目资金的基本情况</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_Toc32159 \h </w:instrText>
      </w:r>
      <w:r>
        <w:rPr>
          <w:rFonts w:hint="eastAsia" w:ascii="仿宋" w:hAnsi="仿宋" w:eastAsia="仿宋" w:cs="仿宋"/>
        </w:rPr>
        <w:fldChar w:fldCharType="separate"/>
      </w:r>
      <w:r>
        <w:rPr>
          <w:rFonts w:hint="eastAsia" w:ascii="仿宋" w:hAnsi="仿宋" w:eastAsia="仿宋" w:cs="仿宋"/>
        </w:rPr>
        <w:t>8</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_Toc4487 </w:instrText>
      </w:r>
      <w:r>
        <w:rPr>
          <w:rFonts w:hint="eastAsia" w:ascii="仿宋" w:hAnsi="仿宋" w:eastAsia="仿宋" w:cs="仿宋"/>
          <w:bCs/>
          <w:szCs w:val="21"/>
          <w:lang w:val="zh-CN"/>
        </w:rPr>
        <w:fldChar w:fldCharType="separate"/>
      </w:r>
      <w:r>
        <w:rPr>
          <w:rFonts w:hint="eastAsia" w:ascii="仿宋" w:hAnsi="仿宋" w:eastAsia="仿宋" w:cs="仿宋"/>
          <w:bCs/>
          <w:snapToGrid/>
          <w:kern w:val="2"/>
          <w:szCs w:val="32"/>
          <w:lang w:val="en-US" w:eastAsia="zh-CN" w:bidi="ar-SA"/>
        </w:rPr>
        <w:t>（三） 项目绩效目标和绩效指标</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_Toc4487 \h </w:instrText>
      </w:r>
      <w:r>
        <w:rPr>
          <w:rFonts w:hint="eastAsia" w:ascii="仿宋" w:hAnsi="仿宋" w:eastAsia="仿宋" w:cs="仿宋"/>
        </w:rPr>
        <w:fldChar w:fldCharType="separate"/>
      </w:r>
      <w:r>
        <w:rPr>
          <w:rFonts w:hint="eastAsia" w:ascii="仿宋" w:hAnsi="仿宋" w:eastAsia="仿宋" w:cs="仿宋"/>
        </w:rPr>
        <w:t>10</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9"/>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_Toc27958 </w:instrText>
      </w:r>
      <w:r>
        <w:rPr>
          <w:rFonts w:hint="eastAsia" w:ascii="仿宋" w:hAnsi="仿宋" w:eastAsia="仿宋" w:cs="仿宋"/>
          <w:bCs/>
          <w:szCs w:val="21"/>
          <w:lang w:val="zh-CN"/>
        </w:rPr>
        <w:fldChar w:fldCharType="separate"/>
      </w:r>
      <w:r>
        <w:rPr>
          <w:rFonts w:hint="eastAsia" w:ascii="仿宋" w:hAnsi="仿宋" w:eastAsia="仿宋" w:cs="仿宋"/>
          <w:bCs/>
          <w:snapToGrid/>
          <w:szCs w:val="44"/>
          <w:lang w:val="en-US" w:eastAsia="zh-CN" w:bidi="ar-SA"/>
        </w:rPr>
        <w:t>二、绩效评价工作情况</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_Toc27958 \h </w:instrText>
      </w:r>
      <w:r>
        <w:rPr>
          <w:rFonts w:hint="eastAsia" w:ascii="仿宋" w:hAnsi="仿宋" w:eastAsia="仿宋" w:cs="仿宋"/>
        </w:rPr>
        <w:fldChar w:fldCharType="separate"/>
      </w:r>
      <w:r>
        <w:rPr>
          <w:rFonts w:hint="eastAsia" w:ascii="仿宋" w:hAnsi="仿宋" w:eastAsia="仿宋" w:cs="仿宋"/>
        </w:rPr>
        <w:t>11</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_Toc13927 </w:instrText>
      </w:r>
      <w:r>
        <w:rPr>
          <w:rFonts w:hint="eastAsia" w:ascii="仿宋" w:hAnsi="仿宋" w:eastAsia="仿宋" w:cs="仿宋"/>
          <w:bCs/>
          <w:szCs w:val="21"/>
          <w:lang w:val="zh-CN"/>
        </w:rPr>
        <w:fldChar w:fldCharType="separate"/>
      </w:r>
      <w:r>
        <w:rPr>
          <w:rFonts w:hint="eastAsia" w:ascii="仿宋" w:hAnsi="仿宋" w:eastAsia="仿宋" w:cs="仿宋"/>
          <w:bCs/>
          <w:snapToGrid/>
          <w:kern w:val="2"/>
          <w:szCs w:val="32"/>
          <w:lang w:val="en-US" w:eastAsia="zh-CN" w:bidi="ar-SA"/>
        </w:rPr>
        <w:t>（一）绩效评价目的</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_Toc13927 \h </w:instrText>
      </w:r>
      <w:r>
        <w:rPr>
          <w:rFonts w:hint="eastAsia" w:ascii="仿宋" w:hAnsi="仿宋" w:eastAsia="仿宋" w:cs="仿宋"/>
        </w:rPr>
        <w:fldChar w:fldCharType="separate"/>
      </w:r>
      <w:r>
        <w:rPr>
          <w:rFonts w:hint="eastAsia" w:ascii="仿宋" w:hAnsi="仿宋" w:eastAsia="仿宋" w:cs="仿宋"/>
        </w:rPr>
        <w:t>11</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_Toc7882 </w:instrText>
      </w:r>
      <w:r>
        <w:rPr>
          <w:rFonts w:hint="eastAsia" w:ascii="仿宋" w:hAnsi="仿宋" w:eastAsia="仿宋" w:cs="仿宋"/>
          <w:bCs/>
          <w:szCs w:val="21"/>
          <w:lang w:val="zh-CN"/>
        </w:rPr>
        <w:fldChar w:fldCharType="separate"/>
      </w:r>
      <w:r>
        <w:rPr>
          <w:rFonts w:hint="eastAsia" w:ascii="仿宋" w:hAnsi="仿宋" w:eastAsia="仿宋" w:cs="仿宋"/>
          <w:bCs/>
          <w:snapToGrid/>
          <w:kern w:val="2"/>
          <w:szCs w:val="32"/>
          <w:lang w:val="en-US" w:eastAsia="zh-CN" w:bidi="ar-SA"/>
        </w:rPr>
        <w:t>（二） 绩效评价工作内容</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_Toc7882 \h </w:instrText>
      </w:r>
      <w:r>
        <w:rPr>
          <w:rFonts w:hint="eastAsia" w:ascii="仿宋" w:hAnsi="仿宋" w:eastAsia="仿宋" w:cs="仿宋"/>
        </w:rPr>
        <w:fldChar w:fldCharType="separate"/>
      </w:r>
      <w:r>
        <w:rPr>
          <w:rFonts w:hint="eastAsia" w:ascii="仿宋" w:hAnsi="仿宋" w:eastAsia="仿宋" w:cs="仿宋"/>
        </w:rPr>
        <w:t>12</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_Toc20403 </w:instrText>
      </w:r>
      <w:r>
        <w:rPr>
          <w:rFonts w:hint="eastAsia" w:ascii="仿宋" w:hAnsi="仿宋" w:eastAsia="仿宋" w:cs="仿宋"/>
          <w:bCs/>
          <w:szCs w:val="21"/>
          <w:lang w:val="zh-CN"/>
        </w:rPr>
        <w:fldChar w:fldCharType="separate"/>
      </w:r>
      <w:r>
        <w:rPr>
          <w:rFonts w:hint="eastAsia" w:ascii="仿宋" w:hAnsi="仿宋" w:eastAsia="仿宋" w:cs="仿宋"/>
          <w:bCs/>
          <w:snapToGrid/>
          <w:kern w:val="2"/>
          <w:szCs w:val="32"/>
          <w:lang w:val="en-US" w:eastAsia="zh-CN" w:bidi="ar-SA"/>
        </w:rPr>
        <w:t>（三） 绩效评价框架</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_Toc20403 \h </w:instrText>
      </w:r>
      <w:r>
        <w:rPr>
          <w:rFonts w:hint="eastAsia" w:ascii="仿宋" w:hAnsi="仿宋" w:eastAsia="仿宋" w:cs="仿宋"/>
        </w:rPr>
        <w:fldChar w:fldCharType="separate"/>
      </w:r>
      <w:r>
        <w:rPr>
          <w:rFonts w:hint="eastAsia" w:ascii="仿宋" w:hAnsi="仿宋" w:eastAsia="仿宋" w:cs="仿宋"/>
        </w:rPr>
        <w:t>13</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_Toc7410 </w:instrText>
      </w:r>
      <w:r>
        <w:rPr>
          <w:rFonts w:hint="eastAsia" w:ascii="仿宋" w:hAnsi="仿宋" w:eastAsia="仿宋" w:cs="仿宋"/>
          <w:bCs/>
          <w:szCs w:val="21"/>
          <w:lang w:val="zh-CN"/>
        </w:rPr>
        <w:fldChar w:fldCharType="separate"/>
      </w:r>
      <w:r>
        <w:rPr>
          <w:rFonts w:hint="eastAsia" w:ascii="仿宋" w:hAnsi="仿宋" w:eastAsia="仿宋" w:cs="仿宋"/>
          <w:bCs/>
          <w:snapToGrid/>
          <w:kern w:val="2"/>
          <w:szCs w:val="32"/>
          <w:lang w:val="en-US" w:eastAsia="zh-CN" w:bidi="ar-SA"/>
        </w:rPr>
        <w:t>（四） 证据收集方式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_Toc7410 \h </w:instrText>
      </w:r>
      <w:r>
        <w:rPr>
          <w:rFonts w:hint="eastAsia" w:ascii="仿宋" w:hAnsi="仿宋" w:eastAsia="仿宋" w:cs="仿宋"/>
        </w:rPr>
        <w:fldChar w:fldCharType="separate"/>
      </w:r>
      <w:r>
        <w:rPr>
          <w:rFonts w:hint="eastAsia" w:ascii="仿宋" w:hAnsi="仿宋" w:eastAsia="仿宋" w:cs="仿宋"/>
        </w:rPr>
        <w:t>15</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9"/>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_Toc31412 </w:instrText>
      </w:r>
      <w:r>
        <w:rPr>
          <w:rFonts w:hint="eastAsia" w:ascii="仿宋" w:hAnsi="仿宋" w:eastAsia="仿宋" w:cs="仿宋"/>
          <w:bCs/>
          <w:szCs w:val="21"/>
          <w:lang w:val="zh-CN"/>
        </w:rPr>
        <w:fldChar w:fldCharType="separate"/>
      </w:r>
      <w:r>
        <w:rPr>
          <w:rFonts w:hint="eastAsia" w:ascii="仿宋" w:hAnsi="仿宋" w:eastAsia="仿宋" w:cs="仿宋"/>
          <w:bCs/>
          <w:snapToGrid/>
          <w:szCs w:val="44"/>
          <w:lang w:val="en-US" w:eastAsia="zh-CN" w:bidi="ar-SA"/>
        </w:rPr>
        <w:t>三、绩效评价分析</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_Toc31412 \h </w:instrText>
      </w:r>
      <w:r>
        <w:rPr>
          <w:rFonts w:hint="eastAsia" w:ascii="仿宋" w:hAnsi="仿宋" w:eastAsia="仿宋" w:cs="仿宋"/>
        </w:rPr>
        <w:fldChar w:fldCharType="separate"/>
      </w:r>
      <w:r>
        <w:rPr>
          <w:rFonts w:hint="eastAsia" w:ascii="仿宋" w:hAnsi="仿宋" w:eastAsia="仿宋" w:cs="仿宋"/>
        </w:rPr>
        <w:t>15</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_Toc8348 </w:instrText>
      </w:r>
      <w:r>
        <w:rPr>
          <w:rFonts w:hint="eastAsia" w:ascii="仿宋" w:hAnsi="仿宋" w:eastAsia="仿宋" w:cs="仿宋"/>
          <w:bCs/>
          <w:szCs w:val="21"/>
          <w:lang w:val="zh-CN"/>
        </w:rPr>
        <w:fldChar w:fldCharType="separate"/>
      </w:r>
      <w:r>
        <w:rPr>
          <w:rFonts w:hint="eastAsia" w:ascii="仿宋" w:hAnsi="仿宋" w:eastAsia="仿宋" w:cs="仿宋"/>
          <w:bCs/>
          <w:snapToGrid/>
          <w:kern w:val="2"/>
          <w:szCs w:val="32"/>
          <w:lang w:val="en-US" w:eastAsia="zh-CN" w:bidi="ar-SA"/>
        </w:rPr>
        <w:t>（一） 决策</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_Toc8348 \h </w:instrText>
      </w:r>
      <w:r>
        <w:rPr>
          <w:rFonts w:hint="eastAsia" w:ascii="仿宋" w:hAnsi="仿宋" w:eastAsia="仿宋" w:cs="仿宋"/>
        </w:rPr>
        <w:fldChar w:fldCharType="separate"/>
      </w:r>
      <w:r>
        <w:rPr>
          <w:rFonts w:hint="eastAsia" w:ascii="仿宋" w:hAnsi="仿宋" w:eastAsia="仿宋" w:cs="仿宋"/>
        </w:rPr>
        <w:t>15</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_Toc583 </w:instrText>
      </w:r>
      <w:r>
        <w:rPr>
          <w:rFonts w:hint="eastAsia" w:ascii="仿宋" w:hAnsi="仿宋" w:eastAsia="仿宋" w:cs="仿宋"/>
          <w:bCs/>
          <w:szCs w:val="21"/>
          <w:lang w:val="zh-CN"/>
        </w:rPr>
        <w:fldChar w:fldCharType="separate"/>
      </w:r>
      <w:r>
        <w:rPr>
          <w:rFonts w:hint="eastAsia" w:ascii="仿宋" w:hAnsi="仿宋" w:eastAsia="仿宋" w:cs="仿宋"/>
          <w:bCs/>
          <w:snapToGrid/>
          <w:kern w:val="2"/>
          <w:szCs w:val="32"/>
          <w:lang w:val="en-US" w:eastAsia="zh-CN" w:bidi="ar-SA"/>
        </w:rPr>
        <w:t>（二） 过程</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_Toc583 \h </w:instrText>
      </w:r>
      <w:r>
        <w:rPr>
          <w:rFonts w:hint="eastAsia" w:ascii="仿宋" w:hAnsi="仿宋" w:eastAsia="仿宋" w:cs="仿宋"/>
        </w:rPr>
        <w:fldChar w:fldCharType="separate"/>
      </w:r>
      <w:r>
        <w:rPr>
          <w:rFonts w:hint="eastAsia" w:ascii="仿宋" w:hAnsi="仿宋" w:eastAsia="仿宋" w:cs="仿宋"/>
        </w:rPr>
        <w:t>17</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_Toc28753 </w:instrText>
      </w:r>
      <w:r>
        <w:rPr>
          <w:rFonts w:hint="eastAsia" w:ascii="仿宋" w:hAnsi="仿宋" w:eastAsia="仿宋" w:cs="仿宋"/>
          <w:bCs/>
          <w:szCs w:val="21"/>
          <w:lang w:val="zh-CN"/>
        </w:rPr>
        <w:fldChar w:fldCharType="separate"/>
      </w:r>
      <w:r>
        <w:rPr>
          <w:rFonts w:hint="eastAsia" w:ascii="仿宋" w:hAnsi="仿宋" w:eastAsia="仿宋" w:cs="仿宋"/>
          <w:bCs/>
          <w:snapToGrid/>
          <w:kern w:val="2"/>
          <w:szCs w:val="32"/>
          <w:lang w:val="en-US" w:eastAsia="zh-CN" w:bidi="ar-SA"/>
        </w:rPr>
        <w:t>（三） 产出</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_Toc28753 \h </w:instrText>
      </w:r>
      <w:r>
        <w:rPr>
          <w:rFonts w:hint="eastAsia" w:ascii="仿宋" w:hAnsi="仿宋" w:eastAsia="仿宋" w:cs="仿宋"/>
        </w:rPr>
        <w:fldChar w:fldCharType="separate"/>
      </w:r>
      <w:r>
        <w:rPr>
          <w:rFonts w:hint="eastAsia" w:ascii="仿宋" w:hAnsi="仿宋" w:eastAsia="仿宋" w:cs="仿宋"/>
        </w:rPr>
        <w:t>18</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_Toc1410 </w:instrText>
      </w:r>
      <w:r>
        <w:rPr>
          <w:rFonts w:hint="eastAsia" w:ascii="仿宋" w:hAnsi="仿宋" w:eastAsia="仿宋" w:cs="仿宋"/>
          <w:bCs/>
          <w:szCs w:val="21"/>
          <w:lang w:val="zh-CN"/>
        </w:rPr>
        <w:fldChar w:fldCharType="separate"/>
      </w:r>
      <w:r>
        <w:rPr>
          <w:rFonts w:hint="eastAsia" w:ascii="仿宋" w:hAnsi="仿宋" w:eastAsia="仿宋" w:cs="仿宋"/>
          <w:bCs/>
          <w:snapToGrid/>
          <w:kern w:val="2"/>
          <w:szCs w:val="32"/>
          <w:lang w:val="en-US" w:eastAsia="zh-CN" w:bidi="ar-SA"/>
        </w:rPr>
        <w:t>（四） 效果</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_Toc1410 \h </w:instrText>
      </w:r>
      <w:r>
        <w:rPr>
          <w:rFonts w:hint="eastAsia" w:ascii="仿宋" w:hAnsi="仿宋" w:eastAsia="仿宋" w:cs="仿宋"/>
        </w:rPr>
        <w:fldChar w:fldCharType="separate"/>
      </w:r>
      <w:r>
        <w:rPr>
          <w:rFonts w:hint="eastAsia" w:ascii="仿宋" w:hAnsi="仿宋" w:eastAsia="仿宋" w:cs="仿宋"/>
        </w:rPr>
        <w:t>20</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9"/>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_Toc7862 </w:instrText>
      </w:r>
      <w:r>
        <w:rPr>
          <w:rFonts w:hint="eastAsia" w:ascii="仿宋" w:hAnsi="仿宋" w:eastAsia="仿宋" w:cs="仿宋"/>
          <w:bCs/>
          <w:szCs w:val="21"/>
          <w:lang w:val="zh-CN"/>
        </w:rPr>
        <w:fldChar w:fldCharType="separate"/>
      </w:r>
      <w:r>
        <w:rPr>
          <w:rFonts w:hint="eastAsia" w:ascii="仿宋" w:hAnsi="仿宋" w:eastAsia="仿宋" w:cs="仿宋"/>
          <w:bCs/>
          <w:snapToGrid/>
          <w:szCs w:val="44"/>
          <w:lang w:val="en-US" w:eastAsia="zh-CN" w:bidi="ar-SA"/>
        </w:rPr>
        <w:t>四、评价结论</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_Toc7862 \h </w:instrText>
      </w:r>
      <w:r>
        <w:rPr>
          <w:rFonts w:hint="eastAsia" w:ascii="仿宋" w:hAnsi="仿宋" w:eastAsia="仿宋" w:cs="仿宋"/>
        </w:rPr>
        <w:fldChar w:fldCharType="separate"/>
      </w:r>
      <w:r>
        <w:rPr>
          <w:rFonts w:hint="eastAsia" w:ascii="仿宋" w:hAnsi="仿宋" w:eastAsia="仿宋" w:cs="仿宋"/>
        </w:rPr>
        <w:t>22</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9"/>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_Toc9398 </w:instrText>
      </w:r>
      <w:r>
        <w:rPr>
          <w:rFonts w:hint="eastAsia" w:ascii="仿宋" w:hAnsi="仿宋" w:eastAsia="仿宋" w:cs="仿宋"/>
          <w:bCs/>
          <w:szCs w:val="21"/>
          <w:lang w:val="zh-CN"/>
        </w:rPr>
        <w:fldChar w:fldCharType="separate"/>
      </w:r>
      <w:r>
        <w:rPr>
          <w:rFonts w:hint="eastAsia" w:ascii="仿宋" w:hAnsi="仿宋" w:eastAsia="仿宋" w:cs="仿宋"/>
          <w:bCs/>
          <w:snapToGrid/>
          <w:szCs w:val="44"/>
          <w:lang w:val="en-US" w:eastAsia="zh-CN" w:bidi="ar-SA"/>
        </w:rPr>
        <w:t>五、存在的问题和建议</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_Toc9398 \h </w:instrText>
      </w:r>
      <w:r>
        <w:rPr>
          <w:rFonts w:hint="eastAsia" w:ascii="仿宋" w:hAnsi="仿宋" w:eastAsia="仿宋" w:cs="仿宋"/>
        </w:rPr>
        <w:fldChar w:fldCharType="separate"/>
      </w:r>
      <w:r>
        <w:rPr>
          <w:rFonts w:hint="eastAsia" w:ascii="仿宋" w:hAnsi="仿宋" w:eastAsia="仿宋" w:cs="仿宋"/>
        </w:rPr>
        <w:t>22</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_Toc18957 </w:instrText>
      </w:r>
      <w:r>
        <w:rPr>
          <w:rFonts w:hint="eastAsia" w:ascii="仿宋" w:hAnsi="仿宋" w:eastAsia="仿宋" w:cs="仿宋"/>
          <w:bCs/>
          <w:szCs w:val="21"/>
          <w:lang w:val="zh-CN"/>
        </w:rPr>
        <w:fldChar w:fldCharType="separate"/>
      </w:r>
      <w:r>
        <w:rPr>
          <w:rFonts w:hint="eastAsia" w:ascii="仿宋" w:hAnsi="仿宋" w:eastAsia="仿宋" w:cs="仿宋"/>
          <w:bCs/>
          <w:snapToGrid/>
          <w:kern w:val="2"/>
          <w:szCs w:val="32"/>
          <w:lang w:val="en-US" w:eastAsia="zh-CN" w:bidi="ar-SA"/>
        </w:rPr>
        <w:t>（一） 存在的问题</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_Toc18957 \h </w:instrText>
      </w:r>
      <w:r>
        <w:rPr>
          <w:rFonts w:hint="eastAsia" w:ascii="仿宋" w:hAnsi="仿宋" w:eastAsia="仿宋" w:cs="仿宋"/>
        </w:rPr>
        <w:fldChar w:fldCharType="separate"/>
      </w:r>
      <w:r>
        <w:rPr>
          <w:rFonts w:hint="eastAsia" w:ascii="仿宋" w:hAnsi="仿宋" w:eastAsia="仿宋" w:cs="仿宋"/>
        </w:rPr>
        <w:t>22</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_Toc28528 </w:instrText>
      </w:r>
      <w:r>
        <w:rPr>
          <w:rFonts w:hint="eastAsia" w:ascii="仿宋" w:hAnsi="仿宋" w:eastAsia="仿宋" w:cs="仿宋"/>
          <w:bCs/>
          <w:szCs w:val="21"/>
          <w:lang w:val="zh-CN"/>
        </w:rPr>
        <w:fldChar w:fldCharType="separate"/>
      </w:r>
      <w:r>
        <w:rPr>
          <w:rFonts w:hint="eastAsia" w:ascii="仿宋" w:hAnsi="仿宋" w:eastAsia="仿宋" w:cs="仿宋"/>
          <w:bCs/>
          <w:snapToGrid/>
          <w:kern w:val="2"/>
          <w:szCs w:val="32"/>
          <w:lang w:val="en-US" w:eastAsia="zh-CN" w:bidi="ar-SA"/>
        </w:rPr>
        <w:t>（二） 改进建议</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_Toc28528 \h </w:instrText>
      </w:r>
      <w:r>
        <w:rPr>
          <w:rFonts w:hint="eastAsia" w:ascii="仿宋" w:hAnsi="仿宋" w:eastAsia="仿宋" w:cs="仿宋"/>
        </w:rPr>
        <w:fldChar w:fldCharType="separate"/>
      </w:r>
      <w:r>
        <w:rPr>
          <w:rFonts w:hint="eastAsia" w:ascii="仿宋" w:hAnsi="仿宋" w:eastAsia="仿宋" w:cs="仿宋"/>
        </w:rPr>
        <w:t>23</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9"/>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_Toc19649 </w:instrText>
      </w:r>
      <w:r>
        <w:rPr>
          <w:rFonts w:hint="eastAsia" w:ascii="仿宋" w:hAnsi="仿宋" w:eastAsia="仿宋" w:cs="仿宋"/>
          <w:bCs/>
          <w:szCs w:val="21"/>
          <w:lang w:val="zh-CN"/>
        </w:rPr>
        <w:fldChar w:fldCharType="separate"/>
      </w:r>
      <w:r>
        <w:rPr>
          <w:rFonts w:hint="eastAsia" w:ascii="仿宋" w:hAnsi="仿宋" w:eastAsia="仿宋" w:cs="仿宋"/>
          <w:bCs/>
          <w:snapToGrid/>
          <w:szCs w:val="44"/>
          <w:lang w:val="en-US" w:eastAsia="zh-CN" w:bidi="ar-SA"/>
        </w:rPr>
        <w:t>六、其他需说明的情况</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_Toc19649 \h </w:instrText>
      </w:r>
      <w:r>
        <w:rPr>
          <w:rFonts w:hint="eastAsia" w:ascii="仿宋" w:hAnsi="仿宋" w:eastAsia="仿宋" w:cs="仿宋"/>
        </w:rPr>
        <w:fldChar w:fldCharType="separate"/>
      </w:r>
      <w:r>
        <w:rPr>
          <w:rFonts w:hint="eastAsia" w:ascii="仿宋" w:hAnsi="仿宋" w:eastAsia="仿宋" w:cs="仿宋"/>
        </w:rPr>
        <w:t>24</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9"/>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_Toc25427 </w:instrText>
      </w:r>
      <w:r>
        <w:rPr>
          <w:rFonts w:hint="eastAsia" w:ascii="仿宋" w:hAnsi="仿宋" w:eastAsia="仿宋" w:cs="仿宋"/>
          <w:bCs/>
          <w:szCs w:val="21"/>
          <w:lang w:val="zh-CN"/>
        </w:rPr>
        <w:fldChar w:fldCharType="separate"/>
      </w:r>
      <w:r>
        <w:rPr>
          <w:rFonts w:hint="eastAsia" w:ascii="仿宋" w:hAnsi="仿宋" w:eastAsia="仿宋" w:cs="仿宋"/>
          <w:bCs/>
          <w:snapToGrid/>
          <w:szCs w:val="44"/>
          <w:lang w:val="en-US" w:eastAsia="zh-CN" w:bidi="ar-SA"/>
        </w:rPr>
        <w:t>七、附件</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_Toc25427 \h </w:instrText>
      </w:r>
      <w:r>
        <w:rPr>
          <w:rFonts w:hint="eastAsia" w:ascii="仿宋" w:hAnsi="仿宋" w:eastAsia="仿宋" w:cs="仿宋"/>
        </w:rPr>
        <w:fldChar w:fldCharType="separate"/>
      </w:r>
      <w:r>
        <w:rPr>
          <w:rFonts w:hint="eastAsia" w:ascii="仿宋" w:hAnsi="仿宋" w:eastAsia="仿宋" w:cs="仿宋"/>
        </w:rPr>
        <w:t>24</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keepNext w:val="0"/>
        <w:keepLines w:val="0"/>
        <w:pageBreakBefore w:val="0"/>
        <w:widowControl/>
        <w:kinsoku w:val="0"/>
        <w:wordWrap/>
        <w:overflowPunct/>
        <w:topLinePunct w:val="0"/>
        <w:autoSpaceDE w:val="0"/>
        <w:autoSpaceDN w:val="0"/>
        <w:bidi w:val="0"/>
        <w:adjustRightInd w:val="0"/>
        <w:snapToGrid w:val="0"/>
        <w:spacing w:before="0" w:after="0" w:line="480" w:lineRule="auto"/>
        <w:jc w:val="both"/>
        <w:textAlignment w:val="baseline"/>
        <w:rPr>
          <w:rFonts w:hint="eastAsia" w:ascii="仿宋" w:hAnsi="仿宋" w:eastAsia="仿宋" w:cs="仿宋"/>
          <w:color w:val="auto"/>
          <w:highlight w:val="none"/>
        </w:rPr>
      </w:pPr>
      <w:r>
        <w:rPr>
          <w:rFonts w:hint="eastAsia" w:ascii="仿宋" w:hAnsi="仿宋" w:eastAsia="仿宋" w:cs="仿宋"/>
          <w:bCs/>
          <w:szCs w:val="21"/>
          <w:lang w:val="zh-CN"/>
        </w:rPr>
        <w:fldChar w:fldCharType="end"/>
      </w:r>
    </w:p>
    <w:p>
      <w:pPr>
        <w:keepNext w:val="0"/>
        <w:keepLines w:val="0"/>
        <w:pageBreakBefore w:val="0"/>
        <w:widowControl/>
        <w:kinsoku w:val="0"/>
        <w:wordWrap/>
        <w:overflowPunct/>
        <w:topLinePunct w:val="0"/>
        <w:autoSpaceDE w:val="0"/>
        <w:autoSpaceDN w:val="0"/>
        <w:bidi w:val="0"/>
        <w:adjustRightInd w:val="0"/>
        <w:snapToGrid w:val="0"/>
        <w:spacing w:before="0" w:after="0"/>
        <w:jc w:val="both"/>
        <w:textAlignment w:val="baseline"/>
        <w:outlineLvl w:val="9"/>
        <w:rPr>
          <w:rFonts w:hint="eastAsia" w:ascii="仿宋" w:hAnsi="仿宋" w:eastAsia="仿宋" w:cs="仿宋"/>
          <w:color w:val="auto"/>
          <w:spacing w:val="-2"/>
          <w:sz w:val="30"/>
          <w:szCs w:val="30"/>
          <w:highlight w:val="none"/>
          <w14:textOutline w14:w="5448" w14:cap="sq" w14:cmpd="sng">
            <w14:solidFill>
              <w14:srgbClr w14:val="00000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before="0" w:after="0"/>
        <w:jc w:val="both"/>
        <w:textAlignment w:val="baseline"/>
        <w:rPr>
          <w:rFonts w:hint="eastAsia" w:ascii="仿宋" w:hAnsi="仿宋" w:eastAsia="仿宋" w:cs="仿宋"/>
          <w:color w:val="auto"/>
          <w:highlight w:val="none"/>
        </w:rPr>
      </w:pP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jc w:val="both"/>
        <w:textAlignment w:val="baseline"/>
        <w:rPr>
          <w:rFonts w:hint="eastAsia" w:ascii="仿宋" w:hAnsi="仿宋" w:eastAsia="仿宋" w:cs="仿宋"/>
          <w:color w:val="auto"/>
          <w:spacing w:val="-2"/>
          <w:sz w:val="30"/>
          <w:szCs w:val="30"/>
          <w:highlight w:val="none"/>
          <w:lang w:val="en-US" w:eastAsia="zh-CN"/>
          <w14:textOutline w14:w="5448" w14:cap="sq" w14:cmpd="sng">
            <w14:solidFill>
              <w14:srgbClr w14:val="00000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jc w:val="both"/>
        <w:textAlignment w:val="baseline"/>
        <w:rPr>
          <w:rFonts w:hint="eastAsia" w:ascii="仿宋" w:hAnsi="仿宋" w:eastAsia="仿宋" w:cs="仿宋"/>
          <w:color w:val="auto"/>
          <w:spacing w:val="-2"/>
          <w:sz w:val="36"/>
          <w:szCs w:val="36"/>
          <w:highlight w:val="none"/>
          <w:lang w:val="en-US" w:eastAsia="zh-CN"/>
          <w14:textOutline w14:w="5448" w14:cap="sq" w14:cmpd="sng">
            <w14:solidFill>
              <w14:srgbClr w14:val="00000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jc w:val="center"/>
        <w:textAlignment w:val="baseline"/>
        <w:rPr>
          <w:rFonts w:hint="eastAsia" w:ascii="仿宋" w:hAnsi="仿宋" w:eastAsia="仿宋" w:cs="仿宋"/>
          <w:color w:val="auto"/>
          <w:spacing w:val="-2"/>
          <w:sz w:val="36"/>
          <w:szCs w:val="36"/>
          <w:highlight w:val="none"/>
          <w:lang w:val="en-US" w:eastAsia="zh-CN"/>
          <w14:textOutline w14:w="5448" w14:cap="sq" w14:cmpd="sng">
            <w14:solidFill>
              <w14:srgbClr w14:val="000000"/>
            </w14:solidFill>
            <w14:prstDash w14:val="solid"/>
            <w14:bevel/>
          </w14:textOutline>
        </w:rPr>
        <w:sectPr>
          <w:headerReference r:id="rId8" w:type="default"/>
          <w:footerReference r:id="rId9" w:type="default"/>
          <w:pgSz w:w="11906" w:h="16838"/>
          <w:pgMar w:top="1003" w:right="1417" w:bottom="1003" w:left="1701" w:header="851" w:footer="992" w:gutter="0"/>
          <w:pgBorders>
            <w:top w:val="none" w:sz="0" w:space="0"/>
            <w:left w:val="none" w:sz="0" w:space="0"/>
            <w:bottom w:val="none" w:sz="0" w:space="0"/>
            <w:right w:val="none" w:sz="0" w:space="0"/>
          </w:pgBorders>
          <w:cols w:space="0" w:num="1"/>
          <w:rtlGutter w:val="0"/>
          <w:docGrid w:type="lines" w:linePitch="312" w:charSpace="0"/>
        </w:sectPr>
      </w:pP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jc w:val="both"/>
        <w:textAlignment w:val="baseline"/>
        <w:rPr>
          <w:rFonts w:hint="eastAsia" w:ascii="仿宋" w:hAnsi="仿宋" w:eastAsia="仿宋" w:cs="仿宋"/>
          <w:color w:val="auto"/>
          <w:spacing w:val="-2"/>
          <w:sz w:val="36"/>
          <w:szCs w:val="36"/>
          <w:highlight w:val="none"/>
          <w:lang w:val="en-US" w:eastAsia="zh-CN"/>
          <w14:textOutline w14:w="5448" w14:cap="sq" w14:cmpd="sng">
            <w14:solidFill>
              <w14:srgbClr w14:val="000000"/>
            </w14:solidFill>
            <w14:prstDash w14:val="solid"/>
            <w14:bevel/>
          </w14:textOutline>
        </w:rPr>
      </w:pPr>
    </w:p>
    <w:p>
      <w:pPr>
        <w:bidi w:val="0"/>
        <w:jc w:val="center"/>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麻阳苗族自治县郭公坪镇等4个乡镇长寿谷村</w:t>
      </w:r>
    </w:p>
    <w:p>
      <w:pPr>
        <w:bidi w:val="0"/>
        <w:jc w:val="center"/>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等38个村高标准农田建设项目（二0二二年）</w:t>
      </w:r>
    </w:p>
    <w:p>
      <w:pPr>
        <w:bidi w:val="0"/>
        <w:jc w:val="center"/>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绩效评价报告</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为加强财政支出管理，提高财政资金使用效益，根据《预算    法》、《中共中央  国务院关于全面实施预算绩效管理的意见》（中发〔2018〕34号）、《中共湖南省委办公厅 湖南省人民政府办公厅 关于全面实施预算绩效管理的实施意见》（湘办发〔2019〕10号）、《财政部关于印发项目支出绩效评价管理办法的通知》（财预〔2020〕10号）、《湖南省预算支出绩效评价管理办法》(湘财绩〔2020〕7号)和《麻阳苗族自治县财政局关于开展2022年度财政预算支出重点项目绩效评价工作的通知》（麻财绩〔2023〕5号）等文件精神，湖南泰信会计师事务所有限公司受麻阳苗族自治县财政局的委托对麻阳苗族自治县郭公坪镇等4个乡镇长寿谷村等38个村高标准农田建设项目（二0二二年）实施绩效评价。项目实施单位对其提供的与本次评价相关的财务和其他资料的真实性和完整性负责。我们的责任是依据相关政策文件及项目单位提供的资料，对项目的决策、过程、产出及效果等方面进行绩效评价，并出具绩效评价报告。在绩效评价过程中,我们结合单位的实际情况,实施了包括检查会计记录、询问、实地考察、问卷调查等我们认为必要的程序。现将本次绩效评价情况报告如下:</w:t>
      </w:r>
    </w:p>
    <w:p>
      <w:pPr>
        <w:pStyle w:val="2"/>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eastAsia" w:ascii="Calibri" w:hAnsi="Calibri" w:eastAsia="黑体" w:cs="Times New Roman"/>
          <w:bCs/>
          <w:snapToGrid/>
          <w:sz w:val="32"/>
          <w:szCs w:val="44"/>
          <w:lang w:val="en-US" w:eastAsia="zh-CN" w:bidi="ar-SA"/>
        </w:rPr>
      </w:pPr>
      <w:bookmarkStart w:id="0" w:name="_Toc15916"/>
      <w:r>
        <w:rPr>
          <w:rFonts w:hint="eastAsia" w:ascii="Calibri" w:hAnsi="Calibri" w:eastAsia="黑体" w:cs="Times New Roman"/>
          <w:bCs/>
          <w:snapToGrid/>
          <w:sz w:val="32"/>
          <w:szCs w:val="44"/>
          <w:lang w:val="en-US" w:eastAsia="zh-CN" w:bidi="ar-SA"/>
        </w:rPr>
        <w:t>一、项目基本情况</w:t>
      </w:r>
      <w:bookmarkEnd w:id="0"/>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1" w:name="_Toc20893"/>
      <w:r>
        <w:rPr>
          <w:rFonts w:hint="eastAsia" w:ascii="Cambria" w:hAnsi="Cambria" w:eastAsia="楷体_GB2312" w:cs="Times New Roman"/>
          <w:bCs/>
          <w:snapToGrid/>
          <w:kern w:val="2"/>
          <w:sz w:val="32"/>
          <w:szCs w:val="32"/>
          <w:lang w:val="en-US" w:eastAsia="zh-CN" w:bidi="ar-SA"/>
        </w:rPr>
        <w:t>（一） 项目概况</w:t>
      </w:r>
      <w:bookmarkEnd w:id="1"/>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1、立项背景</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根据《农业农村部关于下达2022年农田建设任务的通知》（农建发【2021】7号），湖南省农业农村厅于2022年2月13日印发《湖南省农业农村厅关于下达2022年农田建设任务及编制项目实施计划的通知》（湘农发〔2022〕13号）：通知下达2022年全省高标准农田建设任务为460万亩、同步发展高效水灌溉面积18万亩,其中分解给麻阳苗族自治县农业农村局2022年农田建设任务为1.96万亩。</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2、项目实施单位基本情况</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项目实施单位为麻阳苗族自治县农业农村局，其主要职责是：（1）贯彻执行中央、省、市、县有关农业和农村工作的方针政策和农业法律法规。（2）负责农业农村局机关及直属事业单位人事、劳动工资、财务计划、机构编制工作，指导有关社团工作；负责指导本县农业种植业项目的申报、项目的实施监督工作。（3）负责县政府交办的其它工作。</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内部机构设置情况：设办公室、人事股、法规股(行政审批服务股)、 改革发展规划与计划财务股、乡村产业发展和市场与信息化股 (科技教育股)、农村社会事业促进股、农业资源保护与利用股、农产品质量安全监管股、种植业管理股(农药管理股、农作物种业管理)、养殖业管理股(畜禽种业管理)、农业机械化管理股、农田建设股。下设农机事务中心、县农业综合服务中心、县农业综合行政执法大队3个非独立核算二级机构；畜牧水产事务中心、农村经营服务站2个独立核算的二级机构。</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3、建设项目情况</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郭公坪镇等4个乡镇长寿谷村等38个村高标准农田建设项目（二0二二年）共涉及4个乡镇（实际10个乡镇）38个村。包括谭家寨乡的弄里村、梅场村、跃坪村、乌林溪村、腾紫坪村共5个村；郭公坪镇的小坡村、长寿谷村、冯家垅村、郭公坪村、官东村、江家溪村、岩大门村、双竹坡村、米沙村、报木山村、川岩坪村、喇叭溪村共12个村；高村镇的大溪桥村、绿溪口村、水漫溪村、通溪村、仓屋村、富田坳村、栗坪村共7个村；黄桑乡的军田村、老冲村、桃花村、湖池村、黄桑社区、大塘村、亲爱村共7个村；兰里镇的青山村；吕家坪镇的首座田村、吕家坪社区共2个村(社区)；岩门镇的荒田冲村；大桥江乡石垅溪村；尧市镇的桥冲村；锦和镇的新场村。</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怀化市农业农村局于2022年6月24日批复了麻阳苗族自治县农业农村局上报的《关于批复怀化市麻阳苗族自治县郭公坪镇等4个乡镇长寿谷村等38个村高标准农田建设项目（二0二二年）初步设计的请示》，印发《怀化市农业农村局关于麻阳苗族自治县郭公坪镇等4个乡镇长寿谷村等38个村高标准农田建设项目（二0二二年）初步设计的批复》，批复的主要内容为：</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（1）项目选址</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麻阳苗族自治县的郭公坪镇、高村镇、谭家寨乡、黄桑乡共4个乡镇38个村,作为2022年高标准农田建设项目区。</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（2）项目投资</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计划高标准农田建设任务为1.96万亩,项目总投资3136万元，其中:财政资金3136万元(中央为1285万元，省级为1851 万元)，项目建设工期为6个月。</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（3）项目任务</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1）田块整治:田块修筑98亩，耕作层剥离和回填88.2亩。</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2）农田地力提升:地力培肥17640亩。</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3）灌溉和排水: 塘堰(坝)18座，小型拦河坝8座，衬砌明渠(沟)19.922公里，其他水利措施4个。</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4）田间道路:机耕路7.451公里，生产路1.621公里。</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5）农田防护与生态环境保护:岸坡防护工程 3076米。</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6）科技推广措施:仪器设备110台，耕地质量监测88处。</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7）其他工作及措施:项目管理费59.59万元，设计费57.75万元，监理费59.19万元。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2022年8月24日，麻阳苗族自治县工程概预算审核事务中心对麻阳苗族自治县郭公坪镇等4个乡镇高标准农田建设项目（二0二二年）招标控制价进行了评审，并出具了《麻阳苗族自治县财政局工程审查单》（预算评审【2022】057号），审定工程金额为2,518.19万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怀化市农业农村局2022年9月6日批复了麻阳苗族自治县农业农村局上报的《关于批复怀化市麻阳苗族自治县郭公坪镇等4个乡镇长寿谷村等38个村高标准农田建设项目（二0二二年）招标方案的请示》，印发《怀化市农业农村局关于怀化市麻阳苗族自治县郭公坪镇等4个乡镇长寿谷村等38个村高标准农田建设项目（二0二二年）招标方案的批复》，批复的主要内容为招标人麻阳苗族自治县农业农村局采用委托招标和公开招标的方式;整个项目划分为八个标段及其他；1-8标段招标金额为财政评审金额2,518.19万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第一标段包括郭公坪镇的小坡村、长寿谷村、江家溪村，招标金额300.01万元；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第二标段包括郭公坪镇的郭公坪村、官东村，招标金额338.88万元；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第三标段包括郭公坪镇的米沙村、报木山村、川岩坪村、喇叭溪村、冯家垅村，招标金额302.94万元；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第四标段包括高村镇的绿溪口村、水漫溪村、通溪村、大溪桥村，招标金额285.45万元；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第五标段包括高村镇的仓屋村、富田坳村、栗坪村、郭公坪镇的岩大门村、双竹坡村，招标金额348.22万元；</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第六标段包括谭家寨乡的乌林溪村、腾紫坪村、弄里村，招标金额301.30万元；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第七标段包括黄桑乡的军田村、老冲村、桃花村、湖池村、黄桑社区、大塘村、亲爱村共7个村；兰里镇的青山村；吕家坪镇的首座田村、吕家坪社区共2个村（社区）；大桥江乡石垅溪村；招标金额312.24万元。</w:t>
      </w:r>
    </w:p>
    <w:p>
      <w:pPr>
        <w:pStyle w:val="9"/>
        <w:keepNext w:val="0"/>
        <w:keepLines w:val="0"/>
        <w:pageBreakBefore w:val="0"/>
        <w:widowControl w:val="0"/>
        <w:kinsoku w:val="0"/>
        <w:wordWrap/>
        <w:overflowPunct/>
        <w:topLinePunct w:val="0"/>
        <w:autoSpaceDE w:val="0"/>
        <w:autoSpaceDN w:val="0"/>
        <w:bidi w:val="0"/>
        <w:adjustRightInd w:val="0"/>
        <w:snapToGrid w:val="0"/>
        <w:ind w:firstLine="600" w:firstLineChars="200"/>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第八标段包括谭家寨乡的梅场村、跃坪村；岩门镇荒田冲村；尧市镇桥冲村；锦和镇新场村；招标金额329.16万元。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其他实行政府采购，包括土壤改良17640亩，招标金额162.288万元；科技措施（杀虫灯），招标金额27.50万元；耕地质量检测17640亩，招标金额14.112万元；工程设计勘察，招标金额57.75万元；工程监理，招标金额59.19万元。</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项目招投标及合同的签订情况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0" w:after="0" w:line="540" w:lineRule="exact"/>
        <w:ind w:left="582" w:leftChars="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（1）勘察设计政府采购及合同的签订情况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委托怀化正诚项目管理有限公司对怀化市麻阳苗族自治县郭公坪镇等4个乡镇长寿谷村等38个村高标准农田建设项目（二0二二年）的勘察设计实施政府采购，采购方式为竞争性磋商。经评审确定湖南省农林工业勘察设计研究总院为中标人，中标金额57.75万元。2022年5月25日，麻阳苗族自治县农业农村局与湖南省农林工业勘察设计研究总院签订《工程勘察设计合同》，由湖南省农林工业勘察设计研究总院承担项目的勘察设计，提交初步设计文件和施工图设计文件，合同金额57.75万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0" w:after="0" w:line="540" w:lineRule="exact"/>
        <w:ind w:left="582" w:leftChars="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（2）工程招投标及合同的签订情况</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2022年9月，麻阳苗族自治县农业农村局在怀化市公共资源交易中心网站发布招标公告，并委托湖南尊领项目管理有限公司为招标代理人，对工程施工单位进行招标，请有意参加的投标人从2022年9月23日至10月16日17时止，从怀化市公共资源交易中心网站下载获取招标文件、图纸及工程量清单。经评审确定株洲新洲建筑安装有限责任公司为一标段中标单位；隆回县南天建筑工程有限责任公司为二标段中标单位；湖南昊农建设有限公司为三标段中标单位；湖南威嘉建设工程集团有限公司为四标段中标单位；湖南铭盈园林建设有限公司为五标段中标单位；武冈市建筑安装工程公司中为六标段中标单位；湖南创力工程技术有限公司为七标段中标单位；益阳市鼎弘建筑工程有限公司为八标段中标单位；并发出尊领招字（2022）013-01、（2022）013-02、（2022）013-03、（2022）013-04、（2022）013-05、（2022）013-06、（2022）013-07、（2022）013-08号中标通知书，中标金额分别为289.00万元、325.50万元、296.34万元、277.38万元、338.04万元、293.53万元、301.31万元、317.65万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2022年10月25日，麻阳苗族自治县农业农村局与株洲新洲建筑安装有限责任公司签订《高标准农田建设项目施工合同》，由株洲新洲建筑安装有限责任公司承担怀化市麻阳苗族自治县郭公坪镇等4个乡镇长寿谷村等38个村高标准农田建设项目（二0二二年）第1标段的工程施工，合同价款289.00万元，合同工期自2022年10月25日至2023年4月25日共180天。</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2022年10月25日，麻阳苗族自治县农业农村局与隆回县南天建筑工程有限责任公司签订《高标准农田建设项目施工合同》，由隆回县南天建筑工程有限责任公司承担怀化市麻阳苗族自治县郭公坪镇等4个乡镇长寿谷村等38个村高标准农田建设项目（二0二二年）第2标段的工程施工，合同价款325.50万元，合同工期自2022年10月25日至2023年4月25日共180天。</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2022年10月25日，麻阳苗族自治县农业农村局与湖南昊农建设有限公司签订《高标准农田建设项目施工合同》，由湖南昊农建设有限公司承担怀化市麻阳苗族自治县郭公坪镇等4个乡镇长寿谷村等38个村高标准农田建设项目（二0二二年）第3标段的工程施工，合同价款296.34万元，合同工期自2022年10月25日至2023年4月25日共180天。</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4）2022年10月25日，麻阳苗族自治县农业农村局与湖南威嘉建设工程集团有限公司签订《高标准农田建设项目施工合同》，由湖南威嘉建设工程集团有限公司承担怀化市麻阳苗族自治县郭公坪镇等4个乡镇长寿谷村等38个村高标准农田建设项目（二0二二年）第4标段的工程施工，合同价款277.38万元，合同工期自2022年10月25日至2023年4月25日共180天。</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5）2022年12月20日，麻阳苗族自治县农业农村局与湖南铭盈园林建设有限公司签订《高标准农田建设项目施工合同》，由湖南铭盈园林建设有限公司承担怀化市麻阳苗族自治县郭公坪镇等5个乡镇长寿谷村等38个村高标准农田建设项目（二0二二年）第5标段的工程施工，合同价款338.04万元，合同工期自2022年12月20日至2023年5月20日共150天。</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6）2022年12月20日，麻阳苗族自治县农业农村局与武冈市建筑安装工程公司签订《高标准农田建设项目施工合同》，由武冈市建筑安装工程公司承担怀化市麻阳苗族自治县郭公坪镇等5个乡镇长寿谷村等38个村高标准农田建设项目（二0二二年）第6标段的工程施工，合同价款293.53万元，合同工期自2022年12月20日至2023年5月20日共150天。</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7）2022年11月20日，麻阳苗族自治县农业农村局与湖南创力工程技术有限公司签订《高标准农田建设项目施工合同》，由湖南创力工程技术有限公司承担怀化市麻阳苗族自治县郭公坪镇等5个乡镇长寿谷村等38个村高标准农田建设项目（二0二二年）第7标段的工程施工，合同价款301.31万元，合同工期自2022年11月20日至2023年5月20日共180天。</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8）2022年11月20日，麻阳苗族自治县农业农村局与益阳市鼎弘建筑工程有限公司签订《高标准农田建设项目施工合同》，由益阳市鼎弘建筑工程有限公司承担怀化市麻阳苗族自治县郭公坪镇等5个乡镇长寿谷村等38个村高标准农田建设项目（二0二二年）第8标段的工程施工，合同价款317.65万元，合同工期自2022年11月20日至2023年5月20日共180天。</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（3）监理服务的政府采购及合同的签订情况</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委托湖南中招项目管理有限公司怀化分公司对项目监理服务进行政府采购，采购方式为竞争性磋商，经评审确定中通服项目管理咨询有限公司为麻阳苗族自治县2022年高标准农田建设项目监理一包（1-4标）中标人，中标金额24.47万元；确定重庆兴达建设监理有限公司为麻阳苗族自治县2022年高标准农田建设项目监理一二包（5-8标）中标人，中标金额25.29万元。</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2022年10月24日，麻阳苗族自治县农业农村局与中通服项目管理咨询有限公司签订《施工监理服务合同》，合同金额24.47万元。2022年10月24日，麻阳苗族自治县农业农村局与重庆兴达建设监理有限公司签订《施工监理服务合同》，合同金额25.29万元。</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default" w:ascii="Cambria" w:hAnsi="Cambria" w:eastAsia="楷体_GB2312" w:cs="Times New Roman"/>
          <w:bCs/>
          <w:snapToGrid/>
          <w:kern w:val="2"/>
          <w:sz w:val="32"/>
          <w:szCs w:val="32"/>
          <w:lang w:val="en-US" w:eastAsia="zh-CN" w:bidi="ar-SA"/>
        </w:rPr>
      </w:pPr>
      <w:bookmarkStart w:id="2" w:name="_Toc32159"/>
      <w:r>
        <w:rPr>
          <w:rFonts w:hint="eastAsia" w:ascii="Cambria" w:hAnsi="Cambria" w:eastAsia="楷体_GB2312" w:cs="Times New Roman"/>
          <w:bCs/>
          <w:snapToGrid/>
          <w:kern w:val="2"/>
          <w:sz w:val="32"/>
          <w:szCs w:val="32"/>
          <w:lang w:val="en-US" w:eastAsia="zh-CN" w:bidi="ar-SA"/>
        </w:rPr>
        <w:t>（二）项目资金的基本情况</w:t>
      </w:r>
      <w:bookmarkEnd w:id="2"/>
    </w:p>
    <w:p>
      <w:pPr>
        <w:pStyle w:val="9"/>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1、项目资金的安排情况</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麻阳苗族自治县郭公坪镇等4个乡镇长寿谷村等38个村高标准农田建设项目（二0二二年）安排财政资金3,136.00万元，其中：</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2022年5月9日，湖南省财政厅印发《湖南省财政厅关于下达2022年中央农田建设补助资金的通知》（湘财预〔2022〕55号），分配给麻阳苗族自治县2022年中央财政农田建设补助资金1,285.00万元。</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2022年9月1日，湖南省财政厅印发《湖南省财政厅关于下达2022年高标准农田建设资金的通知》（湘财农指〔2022〕57号），分配给麻阳苗族自治县2022年中央财政农田建设补助资金873.00万元。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2022年8月2日，湖南省财政厅印发《湖南省财政厅关于下达2022年省级财政衔接推进乡村振兴补助资金的通知》，下达麻阳苗族自治县2022年高标准农田建设资金978.00万元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 2、项目资金的收入情况</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截止2023年7月31日，麻阳苗族自治县农业农村局共收到县财政拨付的项目资金1,090.10万元。中央省下达的资金计划中2,045.90万元滞留在县财政。</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3、项目资金的支付情况</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截止2023年7月31日，麻阳苗族自治县农业农村局共支付项目资金1,090.10万元，其中：</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支付1标（株洲新洲建筑安装有限责任公司）工程款150.00万元，占合同金额289.00万元的51.9%，</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支付2标（隆回县南天建筑工程有限责任公司）工程款140.00万元，占合同金额325.50万元的43%，</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支付3标（湖南昊农建设有限公司）工程款160.00万元，占合同金额296.34万元的54%，</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支付4标（湖南威嘉建设工程集团有限公司）工程款100.00万元，占合同金额277.38万元的36.05%，</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支付5标（湖南铭盈园林建设有限公司）工程款120.00万元，占合同金额338.04万元的35.5%，</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支付6标（武冈市建筑安装工程公司）工程款110.00万元，占合同金额293.53万元的37.47%，</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支付7标（湖南创力工程技术有限公司）工程款140.00万元，占合同金额301.31万元的46.46%，</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支付8标（益阳市鼎弘建筑工程有限公司）工程款100.00万元，占合同金额317.65万元的31.48%。</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支付勘察设计费（湖南农林工业勘察设计研究总院）40.00万元，一包监理费（申通服项目管理咨询有限公司）14.00万元（占合同金额24.47万元的57.22%），二包监理费（重庆兴达建设监理有限公司）14.00万元（占合同金额25.29万元的55.37）%，管理费2.10万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0" w:after="0" w:line="540" w:lineRule="exact"/>
        <w:ind w:left="582" w:leftChars="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4、项目资金的结余情况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截止2023年7月31日，项目资金收入1,090.10万元，项目资金支出1,090.10万元，麻阳苗族自治县农业农村局无资金结余。</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default" w:ascii="Cambria" w:hAnsi="Cambria" w:eastAsia="楷体_GB2312" w:cs="Times New Roman"/>
          <w:bCs/>
          <w:snapToGrid/>
          <w:kern w:val="2"/>
          <w:sz w:val="32"/>
          <w:szCs w:val="32"/>
          <w:lang w:val="en-US" w:eastAsia="zh-CN" w:bidi="ar-SA"/>
        </w:rPr>
      </w:pPr>
      <w:bookmarkStart w:id="3" w:name="_Toc4487"/>
      <w:r>
        <w:rPr>
          <w:rFonts w:hint="eastAsia" w:ascii="Cambria" w:hAnsi="Cambria" w:eastAsia="楷体_GB2312" w:cs="Times New Roman"/>
          <w:bCs/>
          <w:snapToGrid/>
          <w:kern w:val="2"/>
          <w:sz w:val="32"/>
          <w:szCs w:val="32"/>
          <w:lang w:val="en-US" w:eastAsia="zh-CN" w:bidi="ar-SA"/>
        </w:rPr>
        <w:t>（三） 项目绩效目标和绩效指标</w:t>
      </w:r>
      <w:bookmarkEnd w:id="3"/>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1、绩效目标</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农业农村局设定的项目绩效目标为完成1.96万亩高标准农田建设，通过项目实施，进一步改善农业生产条件，提高粮食综合生产能力，促进农业产业提质增效，增加农户收入。受益总人口7547户30190人，其中脱贫（监测）人口23户92人。</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2、绩效指标</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麻阳苗族自治县农业农村局设定的项目产出和效果指标如下:</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数量指标：新建高标准农田面积1.96万亩；</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质量指标：竣工验收合格率100%；</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时效指标：项目完成及时率100%；</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成本指标：财政资金亩均补助水平≥1200元</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经济效益指标：改善粮食灌溉面积≥2000亩，新增粮食和其他作物产能≥54万公斤，生产条件改善带动农业亩均产量增加≥90斤。</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社会效益指标：受益群众人口≥30000人；</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可持续影响指标：建设工程设计使用年限≥10年；</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满意度指标：受益对象满意度98%。</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农业农村局设定的绩效目标和绩效指标部分与怀化市农业农村局印发的《怀化市农业农村局关于麻阳苗族自治县郭公坪镇等4个乡镇长寿谷村等38个村高标准农田建设项目（二0二二年）初步设计的批复》设定的要求不一致：批复设定的新增粮食产量为182.16万公斤，绩效指标设定的新增粮食产量为54万公斤。</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本次绩效评价以《怀化市农业农村局关于麻阳苗族自治县郭公坪镇等4个乡镇长寿谷村等38个村高标准农田建设项目（二0二二年）初步设计的批复》设定的相关要求作为评价的基础。</w:t>
      </w:r>
    </w:p>
    <w:p>
      <w:pPr>
        <w:pStyle w:val="2"/>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eastAsia" w:ascii="Calibri" w:hAnsi="Calibri" w:eastAsia="黑体" w:cs="Times New Roman"/>
          <w:bCs/>
          <w:snapToGrid/>
          <w:sz w:val="32"/>
          <w:szCs w:val="44"/>
          <w:lang w:val="en-US" w:eastAsia="zh-CN" w:bidi="ar-SA"/>
        </w:rPr>
      </w:pPr>
      <w:bookmarkStart w:id="4" w:name="_Toc27958"/>
      <w:r>
        <w:rPr>
          <w:rFonts w:hint="eastAsia" w:ascii="Calibri" w:hAnsi="Calibri" w:eastAsia="黑体" w:cs="Times New Roman"/>
          <w:bCs/>
          <w:snapToGrid/>
          <w:sz w:val="32"/>
          <w:szCs w:val="44"/>
          <w:lang w:val="en-US" w:eastAsia="zh-CN" w:bidi="ar-SA"/>
        </w:rPr>
        <w:t>二、绩效评价工作情况</w:t>
      </w:r>
      <w:bookmarkEnd w:id="4"/>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5" w:name="_Toc13927"/>
      <w:r>
        <w:rPr>
          <w:rFonts w:hint="eastAsia" w:ascii="Cambria" w:hAnsi="Cambria" w:eastAsia="楷体_GB2312" w:cs="Times New Roman"/>
          <w:bCs/>
          <w:snapToGrid/>
          <w:kern w:val="2"/>
          <w:sz w:val="32"/>
          <w:szCs w:val="32"/>
          <w:lang w:val="en-US" w:eastAsia="zh-CN" w:bidi="ar-SA"/>
        </w:rPr>
        <w:t>（一）绩效评价目的</w:t>
      </w:r>
      <w:bookmarkEnd w:id="5"/>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bookmarkStart w:id="6" w:name="_bookmark7"/>
      <w:bookmarkEnd w:id="6"/>
      <w:r>
        <w:rPr>
          <w:rFonts w:hint="eastAsia" w:ascii="仿宋" w:hAnsi="仿宋" w:eastAsia="仿宋" w:cs="仿宋"/>
          <w:color w:val="auto"/>
          <w:sz w:val="30"/>
          <w:szCs w:val="30"/>
          <w:highlight w:val="none"/>
          <w:lang w:val="en-US" w:eastAsia="zh-CN"/>
        </w:rPr>
        <w:t>通过开展麻阳苗族自治县郭公坪镇等4个乡镇长寿谷村等38个村高标准农田建设项目（二0二二年）绩效评价，全面掌握项目建设资金的使用情况和取得的效果，进一步规范和加强项目资金的管理，提高资金使用效益：</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分析项目资金的投入和执行情况，分析项目投入管理和财务管理水平，进一步剖析资金使用的安全性和规范性；</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通过对项目实施过程中的管理措施进行评价，包括项目评审、执行、验收等是否严格按照各项制度执行，分析其有效性；</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分析资金使用的经济性和效率性，重点关注资金使用的聚焦度，为项目后续的资金支出管理提出改进建议。</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7" w:name="_Toc7882"/>
      <w:r>
        <w:rPr>
          <w:rFonts w:hint="eastAsia" w:ascii="Cambria" w:hAnsi="Cambria" w:eastAsia="楷体_GB2312" w:cs="Times New Roman"/>
          <w:bCs/>
          <w:snapToGrid/>
          <w:kern w:val="2"/>
          <w:sz w:val="32"/>
          <w:szCs w:val="32"/>
          <w:lang w:val="en-US" w:eastAsia="zh-CN" w:bidi="ar-SA"/>
        </w:rPr>
        <w:t>（二） 绩效评价工作内容</w:t>
      </w:r>
      <w:bookmarkEnd w:id="7"/>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1、编制绩效评价实施方案</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3" w:firstLine="55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评价小组在完成绩效评价框架的基础上，与</w:t>
      </w:r>
      <w:r>
        <w:rPr>
          <w:rFonts w:hint="eastAsia" w:ascii="仿宋" w:hAnsi="仿宋" w:eastAsia="仿宋" w:cs="仿宋"/>
          <w:color w:val="auto"/>
          <w:sz w:val="30"/>
          <w:szCs w:val="30"/>
          <w:highlight w:val="none"/>
          <w:lang w:val="en-US" w:eastAsia="zh-CN"/>
        </w:rPr>
        <w:t>麻阳苗族自治县农业农村局相关科室</w:t>
      </w:r>
      <w:r>
        <w:rPr>
          <w:rFonts w:hint="eastAsia" w:ascii="仿宋" w:hAnsi="仿宋" w:eastAsia="仿宋" w:cs="仿宋"/>
          <w:color w:val="auto"/>
          <w:sz w:val="30"/>
          <w:szCs w:val="30"/>
          <w:highlight w:val="none"/>
        </w:rPr>
        <w:t>对绩效评价相关事项进行讨论与研究，制定绩效评价方案。绩效评价方案包括绩效评价指标框架及评分标准、评分表填表说明、基础数据统计表、面访、绩效评价资料清单、绩效评</w:t>
      </w:r>
      <w:r>
        <w:rPr>
          <w:rFonts w:hint="eastAsia" w:ascii="仿宋" w:hAnsi="仿宋" w:eastAsia="仿宋" w:cs="仿宋"/>
          <w:color w:val="auto"/>
          <w:w w:val="99"/>
          <w:sz w:val="30"/>
          <w:szCs w:val="30"/>
          <w:highlight w:val="none"/>
        </w:rPr>
        <w:t>价人员安排。同时对评价小组工作计划、工作分配做了详细的安排</w:t>
      </w:r>
      <w:r>
        <w:rPr>
          <w:rFonts w:hint="eastAsia" w:ascii="仿宋" w:hAnsi="仿宋" w:eastAsia="仿宋" w:cs="仿宋"/>
          <w:color w:val="auto"/>
          <w:sz w:val="30"/>
          <w:szCs w:val="30"/>
          <w:highlight w:val="none"/>
        </w:rPr>
        <w:t>。</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2、组织实施绩效评价</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3" w:firstLine="55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评价小组根据制定的绩效评价工作方案，前往</w:t>
      </w:r>
      <w:r>
        <w:rPr>
          <w:rFonts w:hint="eastAsia" w:ascii="仿宋" w:hAnsi="仿宋" w:eastAsia="仿宋" w:cs="仿宋"/>
          <w:color w:val="auto"/>
          <w:sz w:val="30"/>
          <w:szCs w:val="30"/>
          <w:highlight w:val="none"/>
          <w:lang w:val="en-US" w:eastAsia="zh-CN"/>
        </w:rPr>
        <w:t>麻阳苗族自治县农业农村局</w:t>
      </w:r>
      <w:r>
        <w:rPr>
          <w:rFonts w:hint="eastAsia" w:ascii="仿宋" w:hAnsi="仿宋" w:eastAsia="仿宋" w:cs="仿宋"/>
          <w:color w:val="auto"/>
          <w:sz w:val="30"/>
          <w:szCs w:val="30"/>
          <w:highlight w:val="none"/>
        </w:rPr>
        <w:t>具体实施绩效评价，评价工作包括收集审核基础资料，</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在征求被评价单位的意见下，向相关人员了解项目情况，对项目相关工作人员及服务对象进行问卷调查。</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3、分析评价工作</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经过对收集到的资料、调查问卷统计结果进行比对和交叉验证后，确定用于继续分析和评价的证据，采用变化分析，通过比较指标的实际情况与预期数据对应程度，初步确认评价结果。对初步确定的绩效评价结果进行逐级复核、汇总、分析，核查评价工作中是否存在重复和遗漏的情况</w:t>
      </w:r>
      <w:r>
        <w:rPr>
          <w:rFonts w:hint="eastAsia" w:ascii="仿宋" w:hAnsi="仿宋" w:eastAsia="仿宋" w:cs="仿宋"/>
          <w:color w:val="auto"/>
          <w:sz w:val="30"/>
          <w:szCs w:val="30"/>
          <w:highlight w:val="none"/>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4、撰写评价报告</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评价小组运用科学方法对评价基础资料进行分析总结，将汇总资料反映在绩效评价报告中，并与</w:t>
      </w:r>
      <w:r>
        <w:rPr>
          <w:rFonts w:hint="eastAsia" w:ascii="仿宋" w:hAnsi="仿宋" w:eastAsia="仿宋" w:cs="仿宋"/>
          <w:color w:val="auto"/>
          <w:sz w:val="30"/>
          <w:szCs w:val="30"/>
          <w:highlight w:val="none"/>
          <w:lang w:val="en-US" w:eastAsia="zh-CN"/>
        </w:rPr>
        <w:t>麻阳苗族自治县农业农村局</w:t>
      </w:r>
      <w:r>
        <w:rPr>
          <w:rFonts w:hint="eastAsia" w:ascii="仿宋" w:hAnsi="仿宋" w:eastAsia="仿宋" w:cs="仿宋"/>
          <w:color w:val="auto"/>
          <w:sz w:val="30"/>
          <w:szCs w:val="30"/>
          <w:highlight w:val="none"/>
        </w:rPr>
        <w:t>反馈沟通，根据反馈意见修改报告。提炼项目实施过程中的主要经验及存在的问题，并针对存在的问题提出相应的建议，形成最终的绩效评价报告。</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8" w:name="_bookmark8"/>
      <w:bookmarkEnd w:id="8"/>
      <w:bookmarkStart w:id="9" w:name="_Toc20403"/>
      <w:r>
        <w:rPr>
          <w:rFonts w:hint="eastAsia" w:ascii="Cambria" w:hAnsi="Cambria" w:eastAsia="楷体_GB2312" w:cs="Times New Roman"/>
          <w:bCs/>
          <w:snapToGrid/>
          <w:kern w:val="2"/>
          <w:sz w:val="32"/>
          <w:szCs w:val="32"/>
          <w:lang w:val="en-US" w:eastAsia="zh-CN" w:bidi="ar-SA"/>
        </w:rPr>
        <w:t>（三） 绩效评价框架</w:t>
      </w:r>
      <w:bookmarkEnd w:id="9"/>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、绩效评价原则</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本次绩效评价，我们遵循科学规范原则、公正公开原则、分级分类原 则、绩效相关原则。</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科学规范原则。绩效评价应当严格执行规定的程序，按照科学可行的要求，采用定量与定性分析相结合的方法。</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公正公开原则。绩效评价应当符合真实、客观、公正的要求，依法公开并接受监督。</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分级分类原则。绩效评价由各级财政部门、各预算部门根据评价对象的特点分类组织实施。</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绩效相关原则。绩效评价应当针对具体支出及产出绩效进行，评价结果应当清晰反映支出和产出绩效之间的紧密对应关系。</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、评价依据</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1）《中华人民共和国预算法》（2014年修正）； </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2）《财政部关于印发项目支出绩效评价管理办法的通知》（财预[2020]10号）； </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3）《中共湖南省委办公厅 湖南省人民政府办公厅关于全面实施预算绩效管理的实施意见》（湘办发[2019]10号）；</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4）《湖南省预算支出绩效评价管理办法》(湘财绩[2020]7号)；</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5）《湖南省财政厅关于进一步规范绩效评价管理有关事项的通知》（湘财绩[2021]4号）</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6）《麻阳苗族自治县财政局关于开展2022年度财政预算支出重点项目绩效评价工作的通知》（麻财绩〔2023〕5号）</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、评价指标体系</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w:t>
      </w:r>
      <w:r>
        <w:rPr>
          <w:rFonts w:hint="eastAsia" w:ascii="仿宋" w:hAnsi="仿宋" w:eastAsia="仿宋" w:cs="仿宋"/>
          <w:color w:val="auto"/>
          <w:sz w:val="30"/>
          <w:szCs w:val="30"/>
          <w:highlight w:val="none"/>
          <w:lang w:val="en-US" w:eastAsia="zh-CN"/>
        </w:rPr>
        <w:t>《麻阳苗族自治县财政局关于开展2022年度财政预算支出重点项目绩效评价工作的通知》（麻财绩〔2023〕5号）的要求，</w:t>
      </w:r>
      <w:r>
        <w:rPr>
          <w:rFonts w:hint="eastAsia" w:ascii="仿宋" w:hAnsi="仿宋" w:eastAsia="仿宋" w:cs="仿宋"/>
          <w:color w:val="auto"/>
          <w:sz w:val="30"/>
          <w:szCs w:val="30"/>
          <w:highlight w:val="none"/>
        </w:rPr>
        <w:t>并结合本项目的具体情况，</w:t>
      </w:r>
      <w:r>
        <w:rPr>
          <w:rFonts w:hint="eastAsia" w:ascii="仿宋" w:hAnsi="仿宋" w:eastAsia="仿宋" w:cs="仿宋"/>
          <w:color w:val="auto"/>
          <w:sz w:val="30"/>
          <w:szCs w:val="30"/>
          <w:highlight w:val="none"/>
          <w:lang w:val="en-US" w:eastAsia="zh-CN"/>
        </w:rPr>
        <w:t>评价小组</w:t>
      </w:r>
      <w:r>
        <w:rPr>
          <w:rFonts w:hint="eastAsia" w:ascii="仿宋" w:hAnsi="仿宋" w:eastAsia="仿宋" w:cs="仿宋"/>
          <w:color w:val="auto"/>
          <w:sz w:val="30"/>
          <w:szCs w:val="30"/>
          <w:highlight w:val="none"/>
        </w:rPr>
        <w:t>设计</w:t>
      </w:r>
      <w:r>
        <w:rPr>
          <w:rFonts w:hint="eastAsia" w:ascii="仿宋" w:hAnsi="仿宋" w:eastAsia="仿宋" w:cs="仿宋"/>
          <w:color w:val="auto"/>
          <w:sz w:val="30"/>
          <w:szCs w:val="30"/>
          <w:highlight w:val="none"/>
          <w:lang w:val="en-US" w:eastAsia="zh-CN"/>
        </w:rPr>
        <w:t>了麻阳苗族自治县郭公坪镇等4个乡镇长寿谷村等38个村高标准农田建设项目（二0二二年）</w:t>
      </w:r>
      <w:r>
        <w:rPr>
          <w:rFonts w:hint="eastAsia" w:ascii="仿宋" w:hAnsi="仿宋" w:eastAsia="仿宋" w:cs="仿宋"/>
          <w:color w:val="auto"/>
          <w:sz w:val="30"/>
          <w:szCs w:val="30"/>
          <w:highlight w:val="none"/>
        </w:rPr>
        <w:t>绩效评价指标体系，从</w:t>
      </w:r>
      <w:r>
        <w:rPr>
          <w:rFonts w:hint="eastAsia" w:ascii="仿宋" w:hAnsi="仿宋" w:eastAsia="仿宋" w:cs="仿宋"/>
          <w:color w:val="auto"/>
          <w:sz w:val="30"/>
          <w:szCs w:val="30"/>
          <w:highlight w:val="none"/>
          <w:lang w:val="en-US" w:eastAsia="zh-CN"/>
        </w:rPr>
        <w:t>决策</w:t>
      </w:r>
      <w:r>
        <w:rPr>
          <w:rFonts w:hint="eastAsia" w:ascii="仿宋" w:hAnsi="仿宋" w:eastAsia="仿宋" w:cs="仿宋"/>
          <w:color w:val="auto"/>
          <w:sz w:val="30"/>
          <w:szCs w:val="30"/>
          <w:highlight w:val="none"/>
        </w:rPr>
        <w:t>、过程、产出、效果四个维度，采用了1</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个子类指标，设计了</w:t>
      </w:r>
      <w:r>
        <w:rPr>
          <w:rFonts w:hint="eastAsia" w:ascii="仿宋" w:hAnsi="仿宋" w:eastAsia="仿宋" w:cs="仿宋"/>
          <w:color w:val="auto"/>
          <w:sz w:val="30"/>
          <w:szCs w:val="30"/>
          <w:highlight w:val="none"/>
          <w:lang w:val="en-US" w:eastAsia="zh-CN"/>
        </w:rPr>
        <w:t>23</w:t>
      </w:r>
      <w:r>
        <w:rPr>
          <w:rFonts w:hint="eastAsia" w:ascii="仿宋" w:hAnsi="仿宋" w:eastAsia="仿宋" w:cs="仿宋"/>
          <w:color w:val="auto"/>
          <w:sz w:val="30"/>
          <w:szCs w:val="30"/>
          <w:highlight w:val="none"/>
        </w:rPr>
        <w:t>个具体指标，对</w:t>
      </w:r>
      <w:r>
        <w:rPr>
          <w:rFonts w:hint="eastAsia" w:ascii="仿宋" w:hAnsi="仿宋" w:eastAsia="仿宋" w:cs="仿宋"/>
          <w:color w:val="auto"/>
          <w:sz w:val="30"/>
          <w:szCs w:val="30"/>
          <w:highlight w:val="none"/>
          <w:lang w:val="en-US" w:eastAsia="zh-CN"/>
        </w:rPr>
        <w:t>麻阳苗族自治县郭公坪镇等4个乡镇长寿谷村等38个村高标准农田建设项目（二0二二年）</w:t>
      </w:r>
      <w:r>
        <w:rPr>
          <w:rFonts w:hint="eastAsia" w:ascii="仿宋" w:hAnsi="仿宋" w:eastAsia="仿宋" w:cs="仿宋"/>
          <w:color w:val="auto"/>
          <w:sz w:val="30"/>
          <w:szCs w:val="30"/>
          <w:highlight w:val="none"/>
        </w:rPr>
        <w:t>进行综合评价</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麻阳苗族自治县郭公坪镇等4个乡镇长寿谷村等38个村高标准农田建设项目（二0二二年）</w:t>
      </w:r>
      <w:r>
        <w:rPr>
          <w:rFonts w:hint="eastAsia" w:ascii="仿宋" w:hAnsi="仿宋" w:eastAsia="仿宋" w:cs="仿宋"/>
          <w:color w:val="auto"/>
          <w:sz w:val="30"/>
          <w:szCs w:val="30"/>
          <w:highlight w:val="none"/>
        </w:rPr>
        <w:t>绩效评价指标体系</w:t>
      </w:r>
      <w:r>
        <w:rPr>
          <w:rFonts w:hint="eastAsia" w:ascii="仿宋" w:hAnsi="仿宋" w:eastAsia="仿宋" w:cs="仿宋"/>
          <w:color w:val="auto"/>
          <w:sz w:val="30"/>
          <w:szCs w:val="30"/>
          <w:highlight w:val="none"/>
          <w:lang w:val="en-US" w:eastAsia="zh-CN"/>
        </w:rPr>
        <w:t>详附件。</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、绩效评价方法</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 评价方法</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本次绩效评价主要采用的评价方法包括成本效益分析法、比较法、因素分析法、公众评判法等。</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 成本效益分析法。是指将一定时期内的支出与效益进行对比分析以评价绩效目标实现程度。</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2）比较法。是指通过对绩效目标与实施效果、历史与当期情况、不同部门和地区同类支出的比较，综合分析绩效目标实现程度。</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 因素分析法。是指通过综合分析影响绩效目标实现、实施效果的内外因素，评价绩效目标实现程度。</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 公众评判法。是指通过专家评估、公众问卷及抽样调查等对财政支出效果进行评判，评价绩效目标实现程度。</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 调查方法</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本项目采用抽样调查的方式。本次评价小组共回收</w:t>
      </w:r>
      <w:r>
        <w:rPr>
          <w:rFonts w:hint="eastAsia" w:ascii="仿宋" w:hAnsi="仿宋" w:eastAsia="仿宋" w:cs="仿宋"/>
          <w:color w:val="auto"/>
          <w:sz w:val="30"/>
          <w:szCs w:val="30"/>
          <w:highlight w:val="none"/>
          <w:lang w:val="en-US" w:eastAsia="zh-CN"/>
        </w:rPr>
        <w:t>调查问卷50份</w:t>
      </w:r>
      <w:r>
        <w:rPr>
          <w:rFonts w:hint="eastAsia" w:ascii="仿宋" w:hAnsi="仿宋" w:eastAsia="仿宋" w:cs="仿宋"/>
          <w:color w:val="auto"/>
          <w:sz w:val="30"/>
          <w:szCs w:val="30"/>
          <w:highlight w:val="none"/>
        </w:rPr>
        <w:t>。</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 评分方法</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根据以上方法对评价指标采用百分制打分后，对绩效评价结果采取评 分与评级相结合的形式，确定绩效评价结果类型分为：优、 良、</w:t>
      </w:r>
      <w:r>
        <w:rPr>
          <w:rFonts w:hint="eastAsia" w:ascii="仿宋" w:hAnsi="仿宋" w:eastAsia="仿宋" w:cs="仿宋"/>
          <w:color w:val="auto"/>
          <w:sz w:val="30"/>
          <w:szCs w:val="30"/>
          <w:highlight w:val="none"/>
          <w:lang w:val="en-US" w:eastAsia="zh-CN"/>
        </w:rPr>
        <w:t>中</w:t>
      </w:r>
      <w:r>
        <w:rPr>
          <w:rFonts w:hint="eastAsia" w:ascii="仿宋" w:hAnsi="仿宋" w:eastAsia="仿宋" w:cs="仿宋"/>
          <w:color w:val="auto"/>
          <w:sz w:val="30"/>
          <w:szCs w:val="30"/>
          <w:highlight w:val="none"/>
        </w:rPr>
        <w:t>、差四个等级；其中优≥90 分；90 分＞良≥80 分；80 分＞中≥60 分；差&lt;60 分。 最终确定绩效评价结果类型和评价结果级别。</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10" w:name="_bookmark9"/>
      <w:bookmarkEnd w:id="10"/>
      <w:bookmarkStart w:id="11" w:name="_Toc7410"/>
      <w:r>
        <w:rPr>
          <w:rFonts w:hint="eastAsia" w:ascii="Cambria" w:hAnsi="Cambria" w:eastAsia="楷体_GB2312" w:cs="Times New Roman"/>
          <w:bCs/>
          <w:snapToGrid/>
          <w:kern w:val="2"/>
          <w:sz w:val="32"/>
          <w:szCs w:val="32"/>
          <w:lang w:val="en-US" w:eastAsia="zh-CN" w:bidi="ar-SA"/>
        </w:rPr>
        <w:t>（四） 证据收集方式</w:t>
      </w:r>
      <w:bookmarkEnd w:id="11"/>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本项目采用的证据收集方法包括：案卷研究、案例研究、面</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rPr>
        <w:t>访、问卷调查、实地调研等。</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本项目评价小组走访了</w:t>
      </w:r>
      <w:r>
        <w:rPr>
          <w:rFonts w:hint="eastAsia" w:ascii="仿宋" w:hAnsi="仿宋" w:eastAsia="仿宋" w:cs="仿宋"/>
          <w:color w:val="auto"/>
          <w:sz w:val="30"/>
          <w:szCs w:val="30"/>
          <w:highlight w:val="none"/>
          <w:lang w:val="en-US" w:eastAsia="zh-CN"/>
        </w:rPr>
        <w:t>麻阳苗族自治县农业农村局、项目实施地所在的乡村</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实地通过案卷研究、案例研究、面访收集并验证评价信息资料。根据了解的项目情况设计绩效评价工作方案、指标体系，并针对</w:t>
      </w:r>
      <w:r>
        <w:rPr>
          <w:rFonts w:hint="eastAsia" w:ascii="仿宋" w:hAnsi="仿宋" w:eastAsia="仿宋" w:cs="仿宋"/>
          <w:color w:val="auto"/>
          <w:sz w:val="30"/>
          <w:szCs w:val="30"/>
          <w:highlight w:val="none"/>
          <w:lang w:val="en-US" w:eastAsia="zh-CN"/>
        </w:rPr>
        <w:t>社会公众</w:t>
      </w:r>
      <w:r>
        <w:rPr>
          <w:rFonts w:hint="eastAsia" w:ascii="仿宋" w:hAnsi="仿宋" w:eastAsia="仿宋" w:cs="仿宋"/>
          <w:color w:val="auto"/>
          <w:sz w:val="30"/>
          <w:szCs w:val="30"/>
          <w:highlight w:val="none"/>
        </w:rPr>
        <w:t>设计调研问卷，通过问卷调查方式，对</w:t>
      </w:r>
      <w:r>
        <w:rPr>
          <w:rFonts w:hint="eastAsia" w:ascii="仿宋" w:hAnsi="仿宋" w:eastAsia="仿宋" w:cs="仿宋"/>
          <w:color w:val="auto"/>
          <w:sz w:val="30"/>
          <w:szCs w:val="30"/>
          <w:highlight w:val="none"/>
          <w:lang w:val="en-US" w:eastAsia="zh-CN"/>
        </w:rPr>
        <w:t>受益群众</w:t>
      </w:r>
      <w:r>
        <w:rPr>
          <w:rFonts w:hint="eastAsia" w:ascii="仿宋" w:hAnsi="仿宋" w:eastAsia="仿宋" w:cs="仿宋"/>
          <w:color w:val="auto"/>
          <w:sz w:val="30"/>
          <w:szCs w:val="30"/>
          <w:highlight w:val="none"/>
        </w:rPr>
        <w:t>进行问卷调研</w:t>
      </w:r>
      <w:r>
        <w:rPr>
          <w:rFonts w:hint="eastAsia" w:ascii="仿宋" w:hAnsi="仿宋" w:eastAsia="仿宋" w:cs="仿宋"/>
          <w:color w:val="auto"/>
          <w:sz w:val="30"/>
          <w:szCs w:val="30"/>
          <w:highlight w:val="none"/>
          <w:lang w:eastAsia="zh-CN"/>
        </w:rPr>
        <w:t>。</w:t>
      </w:r>
    </w:p>
    <w:p>
      <w:pPr>
        <w:pStyle w:val="2"/>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eastAsia" w:ascii="Calibri" w:hAnsi="Calibri" w:eastAsia="黑体" w:cs="Times New Roman"/>
          <w:bCs/>
          <w:snapToGrid/>
          <w:sz w:val="32"/>
          <w:szCs w:val="44"/>
          <w:lang w:val="en-US" w:eastAsia="zh-CN" w:bidi="ar-SA"/>
        </w:rPr>
      </w:pPr>
      <w:bookmarkStart w:id="12" w:name="_Toc31412"/>
      <w:r>
        <w:rPr>
          <w:rFonts w:hint="eastAsia" w:ascii="Calibri" w:hAnsi="Calibri" w:eastAsia="黑体" w:cs="Times New Roman"/>
          <w:bCs/>
          <w:snapToGrid/>
          <w:sz w:val="32"/>
          <w:szCs w:val="44"/>
          <w:lang w:val="en-US" w:eastAsia="zh-CN" w:bidi="ar-SA"/>
        </w:rPr>
        <w:t>三、绩效评价分析</w:t>
      </w:r>
      <w:bookmarkEnd w:id="12"/>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13" w:name="_Toc8348"/>
      <w:r>
        <w:rPr>
          <w:rFonts w:hint="eastAsia" w:ascii="Cambria" w:hAnsi="Cambria" w:eastAsia="楷体_GB2312" w:cs="Times New Roman"/>
          <w:bCs/>
          <w:snapToGrid/>
          <w:kern w:val="2"/>
          <w:sz w:val="32"/>
          <w:szCs w:val="32"/>
          <w:lang w:val="en-US" w:eastAsia="zh-CN" w:bidi="ar-SA"/>
        </w:rPr>
        <w:t>（一） 决策</w:t>
      </w:r>
      <w:bookmarkEnd w:id="13"/>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w:t>
      </w:r>
      <w:r>
        <w:rPr>
          <w:rFonts w:hint="eastAsia" w:ascii="仿宋" w:hAnsi="仿宋" w:eastAsia="仿宋" w:cs="仿宋"/>
          <w:color w:val="auto"/>
          <w:sz w:val="30"/>
          <w:szCs w:val="30"/>
          <w:highlight w:val="none"/>
          <w:lang w:val="en-US" w:eastAsia="zh-CN"/>
        </w:rPr>
        <w:t>评分标准</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决策</w:t>
      </w:r>
      <w:r>
        <w:rPr>
          <w:rFonts w:hint="eastAsia" w:ascii="仿宋" w:hAnsi="仿宋" w:eastAsia="仿宋" w:cs="仿宋"/>
          <w:color w:val="auto"/>
          <w:sz w:val="30"/>
          <w:szCs w:val="30"/>
          <w:highlight w:val="none"/>
        </w:rPr>
        <w:t xml:space="preserve">评价总分 </w:t>
      </w:r>
      <w:r>
        <w:rPr>
          <w:rFonts w:hint="eastAsia" w:ascii="仿宋" w:hAnsi="仿宋" w:eastAsia="仿宋" w:cs="仿宋"/>
          <w:color w:val="auto"/>
          <w:sz w:val="30"/>
          <w:szCs w:val="30"/>
          <w:highlight w:val="none"/>
          <w:lang w:val="en-US" w:eastAsia="zh-CN"/>
        </w:rPr>
        <w:t>15</w:t>
      </w:r>
      <w:r>
        <w:rPr>
          <w:rFonts w:hint="eastAsia" w:ascii="仿宋" w:hAnsi="仿宋" w:eastAsia="仿宋" w:cs="仿宋"/>
          <w:color w:val="auto"/>
          <w:sz w:val="30"/>
          <w:szCs w:val="30"/>
          <w:highlight w:val="none"/>
        </w:rPr>
        <w:t xml:space="preserve"> 分，得 </w:t>
      </w:r>
      <w:r>
        <w:rPr>
          <w:rFonts w:hint="eastAsia" w:ascii="仿宋" w:hAnsi="仿宋" w:eastAsia="仿宋" w:cs="仿宋"/>
          <w:color w:val="auto"/>
          <w:sz w:val="30"/>
          <w:szCs w:val="30"/>
          <w:highlight w:val="none"/>
          <w:lang w:val="en-US" w:eastAsia="zh-CN"/>
        </w:rPr>
        <w:t xml:space="preserve">13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1、项目立项（满分 </w:t>
      </w: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 xml:space="preserve"> 分，得分</w:t>
      </w:r>
      <w:r>
        <w:rPr>
          <w:rFonts w:hint="eastAsia" w:ascii="仿宋" w:hAnsi="仿宋" w:eastAsia="仿宋" w:cs="仿宋"/>
          <w:color w:val="auto"/>
          <w:sz w:val="30"/>
          <w:szCs w:val="30"/>
          <w:highlight w:val="none"/>
          <w:lang w:val="en-US" w:eastAsia="zh-CN"/>
        </w:rPr>
        <w:t xml:space="preserve"> 2</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 立项</w:t>
      </w:r>
      <w:r>
        <w:rPr>
          <w:rFonts w:hint="eastAsia" w:ascii="仿宋" w:hAnsi="仿宋" w:eastAsia="仿宋" w:cs="仿宋"/>
          <w:color w:val="auto"/>
          <w:sz w:val="30"/>
          <w:szCs w:val="30"/>
          <w:highlight w:val="none"/>
          <w:lang w:val="en-US" w:eastAsia="zh-CN"/>
        </w:rPr>
        <w:t>依据充分性</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 xml:space="preserve"> 分，得</w:t>
      </w:r>
      <w:r>
        <w:rPr>
          <w:rFonts w:hint="eastAsia" w:ascii="仿宋" w:hAnsi="仿宋" w:eastAsia="仿宋" w:cs="仿宋"/>
          <w:color w:val="auto"/>
          <w:sz w:val="30"/>
          <w:szCs w:val="30"/>
          <w:highlight w:val="none"/>
          <w:lang w:val="en-US" w:eastAsia="zh-CN"/>
        </w:rPr>
        <w:t>分</w:t>
      </w:r>
      <w:r>
        <w:rPr>
          <w:rFonts w:hint="eastAsia" w:ascii="仿宋" w:hAnsi="仿宋" w:eastAsia="仿宋" w:cs="仿宋"/>
          <w:color w:val="auto"/>
          <w:sz w:val="30"/>
          <w:szCs w:val="30"/>
          <w:highlight w:val="none"/>
        </w:rPr>
        <w:t xml:space="preserve"> </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 xml:space="preserve"> 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根据《农业农村部关于下达2022年农田建设任务的通知》（农建发【2021】7号），湖南省农业农村厅于2022年2月13日印发《湖南省农业农村厅关于下达2022年农田建设任务及编制项目实施计划的通知》（湘农发【2022】13号）：通知下达2022年全省高标准农田建设任务为460万亩、同步发展高效水灌溉面积18万亩,其中分解给麻阳苗族自治县农业农村局2022年农田建设任务为1.96万亩。项目立项依据充分，依据评分标准此项</w:t>
      </w:r>
      <w:r>
        <w:rPr>
          <w:rFonts w:hint="eastAsia" w:ascii="仿宋" w:hAnsi="仿宋" w:eastAsia="仿宋" w:cs="仿宋"/>
          <w:color w:val="auto"/>
          <w:sz w:val="30"/>
          <w:szCs w:val="30"/>
          <w:highlight w:val="none"/>
        </w:rPr>
        <w:t xml:space="preserve">得 </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 xml:space="preserve"> 分 。</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（2）立项程序规范性：</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 xml:space="preserve"> 分，得</w:t>
      </w:r>
      <w:r>
        <w:rPr>
          <w:rFonts w:hint="eastAsia" w:ascii="仿宋" w:hAnsi="仿宋" w:eastAsia="仿宋" w:cs="仿宋"/>
          <w:color w:val="auto"/>
          <w:sz w:val="30"/>
          <w:szCs w:val="30"/>
          <w:highlight w:val="none"/>
          <w:lang w:val="en-US" w:eastAsia="zh-CN"/>
        </w:rPr>
        <w:t>分</w:t>
      </w:r>
      <w:r>
        <w:rPr>
          <w:rFonts w:hint="eastAsia" w:ascii="仿宋" w:hAnsi="仿宋" w:eastAsia="仿宋" w:cs="仿宋"/>
          <w:color w:val="auto"/>
          <w:sz w:val="30"/>
          <w:szCs w:val="30"/>
          <w:highlight w:val="none"/>
        </w:rPr>
        <w:t xml:space="preserve"> </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项目按照规定的程序申请设立；审批文件、材料符合相关的要求。依据评分标准此项</w:t>
      </w:r>
      <w:r>
        <w:rPr>
          <w:rFonts w:hint="eastAsia" w:ascii="仿宋" w:hAnsi="仿宋" w:eastAsia="仿宋" w:cs="仿宋"/>
          <w:color w:val="auto"/>
          <w:sz w:val="30"/>
          <w:szCs w:val="30"/>
          <w:highlight w:val="none"/>
        </w:rPr>
        <w:t xml:space="preserve">得 </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 xml:space="preserve"> 分 。</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2.绩效目标</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 xml:space="preserve"> 分，得分</w:t>
      </w:r>
      <w:r>
        <w:rPr>
          <w:rFonts w:hint="eastAsia" w:ascii="仿宋" w:hAnsi="仿宋" w:eastAsia="仿宋" w:cs="仿宋"/>
          <w:color w:val="auto"/>
          <w:sz w:val="30"/>
          <w:szCs w:val="30"/>
          <w:highlight w:val="none"/>
          <w:lang w:val="en-US" w:eastAsia="zh-CN"/>
        </w:rPr>
        <w:t xml:space="preserve"> 4</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 xml:space="preserve">） 绩效目标合理性：满分 </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 xml:space="preserve"> 分，得</w:t>
      </w:r>
      <w:r>
        <w:rPr>
          <w:rFonts w:hint="eastAsia" w:ascii="仿宋" w:hAnsi="仿宋" w:eastAsia="仿宋" w:cs="仿宋"/>
          <w:color w:val="auto"/>
          <w:sz w:val="30"/>
          <w:szCs w:val="30"/>
          <w:highlight w:val="none"/>
          <w:lang w:val="en-US" w:eastAsia="zh-CN"/>
        </w:rPr>
        <w:t xml:space="preserve"> 3</w:t>
      </w:r>
      <w:r>
        <w:rPr>
          <w:rFonts w:hint="eastAsia" w:ascii="仿宋" w:hAnsi="仿宋" w:eastAsia="仿宋" w:cs="仿宋"/>
          <w:color w:val="auto"/>
          <w:sz w:val="30"/>
          <w:szCs w:val="30"/>
          <w:highlight w:val="none"/>
        </w:rPr>
        <w:t xml:space="preserve"> 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rPr>
      </w:pPr>
      <w:r>
        <w:rPr>
          <w:rFonts w:hint="eastAsia" w:ascii="仿宋" w:hAnsi="仿宋" w:eastAsia="仿宋" w:cs="仿宋"/>
          <w:color w:val="auto"/>
          <w:sz w:val="30"/>
          <w:szCs w:val="30"/>
          <w:highlight w:val="none"/>
          <w:lang w:val="en-US" w:eastAsia="zh-CN"/>
        </w:rPr>
        <w:t>麻阳苗族自治县农业农村局根据湖南省农业农村厅的相关要求设定了项目绩效目标。设定的绩效目标与预算确定的项目投资额相匹配；与项目实施内容相关。依评分标准此项得 3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绩效指标明确性：满分 3 分，</w:t>
      </w:r>
      <w:r>
        <w:rPr>
          <w:rFonts w:hint="eastAsia" w:ascii="仿宋" w:hAnsi="仿宋" w:eastAsia="仿宋" w:cs="仿宋"/>
          <w:color w:val="auto"/>
          <w:sz w:val="30"/>
          <w:szCs w:val="30"/>
          <w:highlight w:val="none"/>
        </w:rPr>
        <w:t>得</w:t>
      </w:r>
      <w:r>
        <w:rPr>
          <w:rFonts w:hint="eastAsia" w:ascii="仿宋" w:hAnsi="仿宋" w:eastAsia="仿宋" w:cs="仿宋"/>
          <w:color w:val="auto"/>
          <w:sz w:val="30"/>
          <w:szCs w:val="30"/>
          <w:highlight w:val="none"/>
          <w:lang w:val="en-US" w:eastAsia="zh-CN"/>
        </w:rPr>
        <w:t xml:space="preserve"> 1</w:t>
      </w:r>
      <w:r>
        <w:rPr>
          <w:rFonts w:hint="eastAsia" w:ascii="仿宋" w:hAnsi="仿宋" w:eastAsia="仿宋" w:cs="仿宋"/>
          <w:color w:val="auto"/>
          <w:sz w:val="30"/>
          <w:szCs w:val="30"/>
          <w:highlight w:val="none"/>
        </w:rPr>
        <w:t xml:space="preserve"> 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部分绩效指标如成本指标、经济效益指标、社会效益指标设定不符合《怀化市农业农村局关于麻阳苗族自治县郭公坪镇等4个乡镇长寿谷村等38个村高标准农田建设项目（二0二二年）初步设计的批复》的要求。依据评分标准此项扣 2 分，得 1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资金投入</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预算编制</w:t>
      </w:r>
      <w:r>
        <w:rPr>
          <w:rFonts w:hint="eastAsia" w:ascii="仿宋" w:hAnsi="仿宋" w:eastAsia="仿宋" w:cs="仿宋"/>
          <w:color w:val="auto"/>
          <w:sz w:val="30"/>
          <w:szCs w:val="30"/>
          <w:highlight w:val="none"/>
          <w:lang w:val="en-US" w:eastAsia="zh-CN"/>
        </w:rPr>
        <w:t>科学</w:t>
      </w:r>
      <w:r>
        <w:rPr>
          <w:rFonts w:hint="eastAsia" w:ascii="仿宋" w:hAnsi="仿宋" w:eastAsia="仿宋" w:cs="仿宋"/>
          <w:color w:val="auto"/>
          <w:sz w:val="30"/>
          <w:szCs w:val="30"/>
          <w:highlight w:val="none"/>
        </w:rPr>
        <w:t xml:space="preserve">性：满分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 xml:space="preserve">5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农业农村局委托湖南省农林工业勘察设计研究总院编制麻阳苗族自治县郭公坪镇等4个乡镇长寿谷村等38个村高标准农田建设项目（二0二二年）的概、预算，并经怀化市农业农村局批复，印发了《怀化市农业农村局关于麻阳苗族自治县郭公坪镇等4个乡镇长寿谷村等38个村高标准农田建设项目（二0二二年）初步设计的批复》。麻阳苗族自治县工程概预算审核事务中心对麻阳苗族自治县郭公坪镇等4个乡镇高标准农田建设项目（二0二二年）招标控制价进行了评审，并出具了《麻阳苗族自治县财政局工程审查单》（预算评审【2022】057号）。</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pacing w:val="-20"/>
          <w:sz w:val="30"/>
          <w:szCs w:val="30"/>
          <w:highlight w:val="none"/>
          <w:lang w:val="en-US" w:eastAsia="zh-CN"/>
        </w:rPr>
      </w:pPr>
      <w:r>
        <w:rPr>
          <w:rFonts w:hint="eastAsia" w:ascii="仿宋" w:hAnsi="仿宋" w:eastAsia="仿宋" w:cs="仿宋"/>
          <w:color w:val="auto"/>
          <w:sz w:val="30"/>
          <w:szCs w:val="30"/>
          <w:highlight w:val="none"/>
          <w:lang w:val="en-US" w:eastAsia="zh-CN"/>
        </w:rPr>
        <w:t>预算内容与项目内容匹配；预算额度按照标准编制、测算依据充分；预算确定的项目投资额或资金量与工作任务相匹配，依据评分标准得 5 分。</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14" w:name="_Toc583"/>
      <w:r>
        <w:rPr>
          <w:rFonts w:hint="eastAsia" w:ascii="Cambria" w:hAnsi="Cambria" w:eastAsia="楷体_GB2312" w:cs="Times New Roman"/>
          <w:bCs/>
          <w:snapToGrid/>
          <w:kern w:val="2"/>
          <w:sz w:val="32"/>
          <w:szCs w:val="32"/>
          <w:lang w:val="en-US" w:eastAsia="zh-CN" w:bidi="ar-SA"/>
        </w:rPr>
        <w:t>（二） 过程</w:t>
      </w:r>
      <w:bookmarkEnd w:id="14"/>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w:t>
      </w:r>
      <w:r>
        <w:rPr>
          <w:rFonts w:hint="eastAsia" w:ascii="仿宋" w:hAnsi="仿宋" w:eastAsia="仿宋" w:cs="仿宋"/>
          <w:color w:val="auto"/>
          <w:sz w:val="30"/>
          <w:szCs w:val="30"/>
          <w:highlight w:val="none"/>
          <w:lang w:val="en-US" w:eastAsia="zh-CN"/>
        </w:rPr>
        <w:t>评分标准</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过程</w:t>
      </w:r>
      <w:r>
        <w:rPr>
          <w:rFonts w:hint="eastAsia" w:ascii="仿宋" w:hAnsi="仿宋" w:eastAsia="仿宋" w:cs="仿宋"/>
          <w:color w:val="auto"/>
          <w:sz w:val="30"/>
          <w:szCs w:val="30"/>
          <w:highlight w:val="none"/>
        </w:rPr>
        <w:t xml:space="preserve">评价总分 </w:t>
      </w:r>
      <w:r>
        <w:rPr>
          <w:rFonts w:hint="eastAsia" w:ascii="仿宋" w:hAnsi="仿宋" w:eastAsia="仿宋" w:cs="仿宋"/>
          <w:color w:val="auto"/>
          <w:sz w:val="30"/>
          <w:szCs w:val="30"/>
          <w:highlight w:val="none"/>
          <w:lang w:val="en-US" w:eastAsia="zh-CN"/>
        </w:rPr>
        <w:t>25</w:t>
      </w:r>
      <w:r>
        <w:rPr>
          <w:rFonts w:hint="eastAsia" w:ascii="仿宋" w:hAnsi="仿宋" w:eastAsia="仿宋" w:cs="仿宋"/>
          <w:color w:val="auto"/>
          <w:sz w:val="30"/>
          <w:szCs w:val="30"/>
          <w:highlight w:val="none"/>
        </w:rPr>
        <w:t xml:space="preserve"> 分，得</w:t>
      </w:r>
      <w:r>
        <w:rPr>
          <w:rFonts w:hint="eastAsia" w:ascii="仿宋" w:hAnsi="仿宋" w:eastAsia="仿宋" w:cs="仿宋"/>
          <w:color w:val="auto"/>
          <w:sz w:val="30"/>
          <w:szCs w:val="30"/>
          <w:highlight w:val="none"/>
          <w:lang w:val="en-US" w:eastAsia="zh-CN"/>
        </w:rPr>
        <w:t>分</w:t>
      </w:r>
      <w:r>
        <w:rPr>
          <w:rFonts w:hint="eastAsia" w:ascii="仿宋" w:hAnsi="仿宋" w:eastAsia="仿宋" w:cs="仿宋"/>
          <w:color w:val="auto"/>
          <w:sz w:val="30"/>
          <w:szCs w:val="30"/>
          <w:highlight w:val="none"/>
        </w:rPr>
        <w:t xml:space="preserve"> </w:t>
      </w:r>
      <w:r>
        <w:rPr>
          <w:rFonts w:hint="eastAsia" w:ascii="仿宋" w:hAnsi="仿宋" w:eastAsia="仿宋" w:cs="仿宋"/>
          <w:color w:val="auto"/>
          <w:sz w:val="30"/>
          <w:szCs w:val="30"/>
          <w:highlight w:val="none"/>
          <w:lang w:val="en-US" w:eastAsia="zh-CN"/>
        </w:rPr>
        <w:t>22</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1、资金管理</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15</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10</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资金到位</w:t>
      </w:r>
      <w:r>
        <w:rPr>
          <w:rFonts w:hint="eastAsia" w:ascii="仿宋" w:hAnsi="仿宋" w:eastAsia="仿宋" w:cs="仿宋"/>
          <w:color w:val="auto"/>
          <w:sz w:val="30"/>
          <w:szCs w:val="30"/>
          <w:highlight w:val="none"/>
          <w:lang w:val="en-US" w:eastAsia="zh-CN"/>
        </w:rPr>
        <w:t>率</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 xml:space="preserve">5 </w:t>
      </w:r>
      <w:r>
        <w:rPr>
          <w:rFonts w:hint="eastAsia" w:ascii="仿宋" w:hAnsi="仿宋" w:eastAsia="仿宋" w:cs="仿宋"/>
          <w:color w:val="auto"/>
          <w:sz w:val="30"/>
          <w:szCs w:val="30"/>
          <w:highlight w:val="none"/>
        </w:rPr>
        <w:t xml:space="preserve">分，得分 </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w:t>
      </w:r>
      <w:r>
        <w:rPr>
          <w:rFonts w:hint="eastAsia" w:ascii="仿宋" w:hAnsi="仿宋" w:eastAsia="仿宋" w:cs="仿宋"/>
          <w:color w:val="auto"/>
          <w:sz w:val="30"/>
          <w:szCs w:val="30"/>
          <w:highlight w:val="none"/>
          <w:lang w:val="en-US" w:eastAsia="zh-CN"/>
        </w:rPr>
        <w:t>麻阳苗族自治县农业农村局</w:t>
      </w:r>
      <w:r>
        <w:rPr>
          <w:rFonts w:hint="eastAsia" w:ascii="仿宋" w:hAnsi="仿宋" w:eastAsia="仿宋" w:cs="仿宋"/>
          <w:color w:val="auto"/>
          <w:sz w:val="30"/>
          <w:szCs w:val="30"/>
          <w:highlight w:val="none"/>
        </w:rPr>
        <w:t>提供的资料、资金明细账、财务凭证等资料，</w:t>
      </w:r>
      <w:r>
        <w:rPr>
          <w:rFonts w:hint="eastAsia" w:ascii="仿宋" w:hAnsi="仿宋" w:eastAsia="仿宋" w:cs="仿宋"/>
          <w:color w:val="auto"/>
          <w:sz w:val="30"/>
          <w:szCs w:val="30"/>
          <w:highlight w:val="none"/>
          <w:lang w:val="en-US" w:eastAsia="zh-CN"/>
        </w:rPr>
        <w:t>截止2023年7月31日，麻阳苗族自治县郭公坪镇等4个乡镇长寿谷村等38个村高标准农田建设项目（二0二二年）资金实际到位1,090.10万元</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资金到位率34.76%。依据评分标准扣 3 分</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 xml:space="preserve">得 </w:t>
      </w:r>
      <w:r>
        <w:rPr>
          <w:rFonts w:hint="eastAsia" w:ascii="仿宋" w:hAnsi="仿宋" w:eastAsia="仿宋" w:cs="仿宋"/>
          <w:color w:val="auto"/>
          <w:sz w:val="30"/>
          <w:szCs w:val="30"/>
          <w:highlight w:val="none"/>
          <w:lang w:val="en-US" w:eastAsia="zh-CN"/>
        </w:rPr>
        <w:t xml:space="preserve">2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 xml:space="preserve">预算执行率：满分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分，得分</w:t>
      </w:r>
      <w:r>
        <w:rPr>
          <w:rFonts w:hint="eastAsia" w:ascii="仿宋" w:hAnsi="仿宋" w:eastAsia="仿宋" w:cs="仿宋"/>
          <w:color w:val="auto"/>
          <w:sz w:val="30"/>
          <w:szCs w:val="30"/>
          <w:highlight w:val="none"/>
          <w:lang w:val="en-US" w:eastAsia="zh-CN"/>
        </w:rPr>
        <w:t xml:space="preserve"> 5 </w:t>
      </w:r>
      <w:r>
        <w:rPr>
          <w:rFonts w:hint="eastAsia" w:ascii="仿宋" w:hAnsi="仿宋" w:eastAsia="仿宋" w:cs="仿宋"/>
          <w:color w:val="auto"/>
          <w:sz w:val="30"/>
          <w:szCs w:val="30"/>
          <w:highlight w:val="none"/>
        </w:rPr>
        <w:t>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截止2023年7月31日，麻阳苗族自治县郭公坪镇等4个乡镇长寿谷村等38个村高标准农田建设项目（二0二二年）实际收到项目资金1090.10万元,实际支付资金1090.10万元,预算执行率100%。依据评分标准</w:t>
      </w:r>
      <w:r>
        <w:rPr>
          <w:rFonts w:hint="eastAsia" w:ascii="仿宋" w:hAnsi="仿宋" w:eastAsia="仿宋" w:cs="仿宋"/>
          <w:color w:val="auto"/>
          <w:sz w:val="30"/>
          <w:szCs w:val="30"/>
          <w:highlight w:val="none"/>
        </w:rPr>
        <w:t xml:space="preserve">得 </w:t>
      </w:r>
      <w:r>
        <w:rPr>
          <w:rFonts w:hint="eastAsia" w:ascii="仿宋" w:hAnsi="仿宋" w:eastAsia="仿宋" w:cs="仿宋"/>
          <w:color w:val="auto"/>
          <w:sz w:val="30"/>
          <w:szCs w:val="30"/>
          <w:highlight w:val="none"/>
          <w:lang w:val="en-US" w:eastAsia="zh-CN"/>
        </w:rPr>
        <w:t xml:space="preserve">5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 xml:space="preserve">）资金使用合规性：满分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资金使用符合国家财经法规和财务管理制度的规定；资金的拨付有完整的审批程序和手续</w:t>
      </w:r>
      <w:r>
        <w:rPr>
          <w:rFonts w:hint="eastAsia" w:ascii="仿宋" w:hAnsi="仿宋" w:eastAsia="仿宋" w:cs="仿宋"/>
          <w:color w:val="auto"/>
          <w:sz w:val="30"/>
          <w:szCs w:val="30"/>
          <w:highlight w:val="none"/>
          <w:lang w:val="en-US" w:eastAsia="zh-CN"/>
        </w:rPr>
        <w:t>;未发现</w:t>
      </w:r>
      <w:r>
        <w:rPr>
          <w:rFonts w:hint="eastAsia" w:ascii="仿宋" w:hAnsi="仿宋" w:eastAsia="仿宋" w:cs="仿宋"/>
          <w:color w:val="auto"/>
          <w:sz w:val="30"/>
          <w:szCs w:val="30"/>
          <w:highlight w:val="none"/>
        </w:rPr>
        <w:t>截留、挤占、挪用、虚列支出等情况。</w:t>
      </w:r>
      <w:r>
        <w:rPr>
          <w:rFonts w:hint="eastAsia" w:ascii="仿宋" w:hAnsi="仿宋" w:eastAsia="仿宋" w:cs="仿宋"/>
          <w:color w:val="auto"/>
          <w:sz w:val="30"/>
          <w:szCs w:val="30"/>
          <w:highlight w:val="none"/>
          <w:lang w:val="en-US" w:eastAsia="zh-CN"/>
        </w:rPr>
        <w:t>依据评分标准此项</w:t>
      </w:r>
      <w:r>
        <w:rPr>
          <w:rFonts w:hint="eastAsia" w:ascii="仿宋" w:hAnsi="仿宋" w:eastAsia="仿宋" w:cs="仿宋"/>
          <w:color w:val="auto"/>
          <w:sz w:val="30"/>
          <w:szCs w:val="30"/>
          <w:highlight w:val="none"/>
        </w:rPr>
        <w:t xml:space="preserve">得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bookmarkStart w:id="15" w:name="_bookmark12"/>
      <w:bookmarkEnd w:id="15"/>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组织实施</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 xml:space="preserve">10 </w:t>
      </w:r>
      <w:r>
        <w:rPr>
          <w:rFonts w:hint="eastAsia" w:ascii="仿宋" w:hAnsi="仿宋" w:eastAsia="仿宋" w:cs="仿宋"/>
          <w:color w:val="auto"/>
          <w:sz w:val="30"/>
          <w:szCs w:val="30"/>
          <w:highlight w:val="none"/>
        </w:rPr>
        <w:t xml:space="preserve">分，得分 </w:t>
      </w:r>
      <w:r>
        <w:rPr>
          <w:rFonts w:hint="eastAsia" w:ascii="仿宋" w:hAnsi="仿宋" w:eastAsia="仿宋" w:cs="仿宋"/>
          <w:color w:val="auto"/>
          <w:sz w:val="30"/>
          <w:szCs w:val="30"/>
          <w:highlight w:val="none"/>
          <w:lang w:val="en-US" w:eastAsia="zh-CN"/>
        </w:rPr>
        <w:t>8</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（1）管理制度健全性：满分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yellow"/>
        </w:rPr>
      </w:pPr>
      <w:r>
        <w:rPr>
          <w:rFonts w:hint="eastAsia" w:ascii="仿宋" w:hAnsi="仿宋" w:eastAsia="仿宋" w:cs="仿宋"/>
          <w:color w:val="auto"/>
          <w:sz w:val="30"/>
          <w:szCs w:val="30"/>
          <w:highlight w:val="none"/>
          <w:lang w:val="en-US" w:eastAsia="zh-CN"/>
        </w:rPr>
        <w:t>麻阳苗族自治县农业农村局建立了《麻阳苗族自治县农业农村局财务管理制度》、《麻阳苗族自治县农业农村局专项资金管理制度》、《麻阳苗族自治县高标准农田建设项目验收考评制度》、《麻阳苗族自治县农业农村局农业项目管理办法》、《麻阳苗族自治县高标准农田建设项目招投标制度》、《麻阳苗族自治县高标准农田建后管护办法》等相关制度。管理制度较为健全，依据评分标准</w:t>
      </w:r>
      <w:r>
        <w:rPr>
          <w:rFonts w:hint="eastAsia" w:ascii="仿宋" w:hAnsi="仿宋" w:eastAsia="仿宋" w:cs="仿宋"/>
          <w:color w:val="auto"/>
          <w:sz w:val="30"/>
          <w:szCs w:val="30"/>
          <w:highlight w:val="none"/>
        </w:rPr>
        <w:t xml:space="preserve">得 </w:t>
      </w: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（2）制度执行有效性：满分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项目实施遵守相关法律法规和业务管理规定</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项目实施的人员条件、场地设备、信息支撑等落实到位；项目执行过程中的档案资料归档不及时；预算支出实施的人员条件、场地设备、信息支撑等落实到位。依据评分标准此项</w:t>
      </w:r>
      <w:r>
        <w:rPr>
          <w:rFonts w:hint="eastAsia" w:ascii="仿宋" w:hAnsi="仿宋" w:eastAsia="仿宋" w:cs="仿宋"/>
          <w:color w:val="auto"/>
          <w:sz w:val="30"/>
          <w:szCs w:val="30"/>
          <w:highlight w:val="none"/>
        </w:rPr>
        <w:t xml:space="preserve">得 </w:t>
      </w:r>
      <w:r>
        <w:rPr>
          <w:rFonts w:hint="eastAsia" w:ascii="仿宋" w:hAnsi="仿宋" w:eastAsia="仿宋" w:cs="仿宋"/>
          <w:color w:val="auto"/>
          <w:sz w:val="30"/>
          <w:szCs w:val="30"/>
          <w:highlight w:val="none"/>
          <w:lang w:val="en-US" w:eastAsia="zh-CN"/>
        </w:rPr>
        <w:t xml:space="preserve">5 </w:t>
      </w:r>
      <w:r>
        <w:rPr>
          <w:rFonts w:hint="eastAsia" w:ascii="仿宋" w:hAnsi="仿宋" w:eastAsia="仿宋" w:cs="仿宋"/>
          <w:color w:val="auto"/>
          <w:sz w:val="30"/>
          <w:szCs w:val="30"/>
          <w:highlight w:val="none"/>
        </w:rPr>
        <w:t>分 。</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16" w:name="_bookmark13"/>
      <w:bookmarkEnd w:id="16"/>
      <w:bookmarkStart w:id="17" w:name="_Toc28753"/>
      <w:r>
        <w:rPr>
          <w:rFonts w:hint="eastAsia" w:ascii="Cambria" w:hAnsi="Cambria" w:eastAsia="楷体_GB2312" w:cs="Times New Roman"/>
          <w:bCs/>
          <w:snapToGrid/>
          <w:kern w:val="2"/>
          <w:sz w:val="32"/>
          <w:szCs w:val="32"/>
          <w:lang w:val="en-US" w:eastAsia="zh-CN" w:bidi="ar-SA"/>
        </w:rPr>
        <w:t>（三） 产出</w:t>
      </w:r>
      <w:bookmarkEnd w:id="17"/>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w:t>
      </w:r>
      <w:r>
        <w:rPr>
          <w:rFonts w:hint="eastAsia" w:ascii="仿宋" w:hAnsi="仿宋" w:eastAsia="仿宋" w:cs="仿宋"/>
          <w:color w:val="auto"/>
          <w:sz w:val="30"/>
          <w:szCs w:val="30"/>
          <w:highlight w:val="none"/>
          <w:lang w:val="en-US" w:eastAsia="zh-CN"/>
        </w:rPr>
        <w:t>评分标准</w:t>
      </w:r>
      <w:r>
        <w:rPr>
          <w:rFonts w:hint="eastAsia" w:ascii="仿宋" w:hAnsi="仿宋" w:eastAsia="仿宋" w:cs="仿宋"/>
          <w:color w:val="auto"/>
          <w:sz w:val="30"/>
          <w:szCs w:val="30"/>
          <w:highlight w:val="none"/>
        </w:rPr>
        <w:t>，产出</w:t>
      </w:r>
      <w:r>
        <w:rPr>
          <w:rFonts w:hint="eastAsia" w:ascii="仿宋" w:hAnsi="仿宋" w:eastAsia="仿宋" w:cs="仿宋"/>
          <w:color w:val="auto"/>
          <w:sz w:val="30"/>
          <w:szCs w:val="30"/>
          <w:highlight w:val="none"/>
          <w:lang w:val="en-US" w:eastAsia="zh-CN"/>
        </w:rPr>
        <w:t>评价总分 35 分，</w:t>
      </w:r>
      <w:r>
        <w:rPr>
          <w:rFonts w:hint="eastAsia" w:ascii="仿宋" w:hAnsi="仿宋" w:eastAsia="仿宋" w:cs="仿宋"/>
          <w:color w:val="auto"/>
          <w:sz w:val="30"/>
          <w:szCs w:val="30"/>
          <w:highlight w:val="none"/>
        </w:rPr>
        <w:t xml:space="preserve">得 </w:t>
      </w:r>
      <w:r>
        <w:rPr>
          <w:rFonts w:hint="eastAsia" w:ascii="仿宋" w:hAnsi="仿宋" w:eastAsia="仿宋" w:cs="仿宋"/>
          <w:color w:val="auto"/>
          <w:sz w:val="30"/>
          <w:szCs w:val="30"/>
          <w:highlight w:val="none"/>
          <w:lang w:val="en-US" w:eastAsia="zh-CN"/>
        </w:rPr>
        <w:t>33.4</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1、成本指标（满分 10 分，得 10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成本节约率：满分 10 分，得分 10 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根据麻阳苗族自治县农业农村局提供的资料，截止2023年7月31日，1-8标段已经完工，土壤改良17640亩、科技措施（杀虫灯）、耕地质量检测17640亩等未实施。1-8标段已经完工，但尚未验收，未与施工单位进行工程结算，未取得第三方中介机构出具的工程造价咨询报告或者县财政投资评审中心、审计局出具的审计报告。根据提供的财务及其他资料，截止2023年7月31日，未发现1-8标段成本超预算的情况。依评分标准，得 10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、数量指标（满分</w:t>
      </w:r>
      <w:r>
        <w:rPr>
          <w:rFonts w:hint="eastAsia" w:ascii="仿宋" w:hAnsi="仿宋" w:eastAsia="仿宋" w:cs="仿宋"/>
          <w:color w:val="auto"/>
          <w:sz w:val="30"/>
          <w:szCs w:val="30"/>
          <w:highlight w:val="none"/>
          <w:lang w:val="en-US" w:eastAsia="zh-CN"/>
        </w:rPr>
        <w:t xml:space="preserve"> 10 </w:t>
      </w:r>
      <w:r>
        <w:rPr>
          <w:rFonts w:hint="eastAsia" w:ascii="仿宋" w:hAnsi="仿宋" w:eastAsia="仿宋" w:cs="仿宋"/>
          <w:color w:val="auto"/>
          <w:sz w:val="30"/>
          <w:szCs w:val="30"/>
          <w:highlight w:val="none"/>
        </w:rPr>
        <w:t xml:space="preserve">分，得分 </w:t>
      </w:r>
      <w:r>
        <w:rPr>
          <w:rFonts w:hint="eastAsia" w:ascii="仿宋" w:hAnsi="仿宋" w:eastAsia="仿宋" w:cs="仿宋"/>
          <w:color w:val="auto"/>
          <w:sz w:val="30"/>
          <w:szCs w:val="30"/>
          <w:highlight w:val="none"/>
          <w:lang w:val="en-US" w:eastAsia="zh-CN"/>
        </w:rPr>
        <w:t>9</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实际完成率：满分 10 分，得分 9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根据麻阳苗族自治县农业农村局提供的建设方、施工方、监理方三方签字认可的各标段进度表，1-8标段已经完工；土壤改良17640亩、耕地质量检测17640亩已实施，但未提供科技措施（杀虫灯）的相关资料。依据评分标准此项扣 1 分，得 9 分。</w:t>
      </w:r>
    </w:p>
    <w:p>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质量指标（满分</w:t>
      </w:r>
      <w:r>
        <w:rPr>
          <w:rFonts w:hint="eastAsia" w:ascii="仿宋" w:hAnsi="仿宋" w:eastAsia="仿宋" w:cs="仿宋"/>
          <w:color w:val="auto"/>
          <w:sz w:val="30"/>
          <w:szCs w:val="30"/>
          <w:highlight w:val="none"/>
          <w:lang w:val="en-US" w:eastAsia="zh-CN"/>
        </w:rPr>
        <w:t xml:space="preserve"> 8 </w:t>
      </w:r>
      <w:r>
        <w:rPr>
          <w:rFonts w:hint="eastAsia" w:ascii="仿宋" w:hAnsi="仿宋" w:eastAsia="仿宋" w:cs="仿宋"/>
          <w:color w:val="auto"/>
          <w:sz w:val="30"/>
          <w:szCs w:val="30"/>
          <w:highlight w:val="none"/>
        </w:rPr>
        <w:t xml:space="preserve">分，得分 </w:t>
      </w:r>
      <w:r>
        <w:rPr>
          <w:rFonts w:hint="eastAsia" w:ascii="仿宋" w:hAnsi="仿宋" w:eastAsia="仿宋" w:cs="仿宋"/>
          <w:color w:val="auto"/>
          <w:sz w:val="30"/>
          <w:szCs w:val="30"/>
          <w:highlight w:val="none"/>
          <w:lang w:val="en-US" w:eastAsia="zh-CN"/>
        </w:rPr>
        <w:t xml:space="preserve">8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质量达标率：满分 8 分，得分 8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农业农村局与1-8标段的施工方签订的《施工合同》,对工程施工程序和质量要求进行了详细的约定；与中通服项目管理咨询有限公司和重庆兴达建设监理有限公司签订《施工监理服务合同》，由中通服项目管理咨询有限公司和重庆兴达建设监理有限公司全程参与施工质量的监督。麻阳苗族自治县农业农村局提供了监理公司的监理日志或监理月报。依据评分标准此项得 8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、时效指标（满分</w:t>
      </w:r>
      <w:r>
        <w:rPr>
          <w:rFonts w:hint="eastAsia" w:ascii="仿宋" w:hAnsi="仿宋" w:eastAsia="仿宋" w:cs="仿宋"/>
          <w:color w:val="auto"/>
          <w:sz w:val="30"/>
          <w:szCs w:val="30"/>
          <w:highlight w:val="none"/>
          <w:lang w:val="en-US" w:eastAsia="zh-CN"/>
        </w:rPr>
        <w:t xml:space="preserve"> 7</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6.4</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完成及时性：满分 7 分，得分 6.4 分 </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 xml:space="preserve">根据麻阳苗族自治县农业农村局提供的资料，截止2023年7月31日，1-8标段已经完工，土壤改良17640亩、耕地质量检测17640亩已经实施。科技措施（杀虫灯）未及时完成。依据评分标准此项扣 0.6 分，得 6.4 分。        </w:t>
      </w:r>
      <w:r>
        <w:rPr>
          <w:rFonts w:hint="eastAsia" w:ascii="仿宋" w:hAnsi="仿宋" w:eastAsia="仿宋" w:cs="仿宋"/>
          <w:color w:val="auto"/>
          <w:sz w:val="30"/>
          <w:szCs w:val="30"/>
          <w:highlight w:val="none"/>
        </w:rPr>
        <w:t xml:space="preserve">         </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18" w:name="_bookmark14"/>
      <w:bookmarkEnd w:id="18"/>
      <w:bookmarkStart w:id="19" w:name="_Toc1410"/>
      <w:r>
        <w:rPr>
          <w:rFonts w:hint="eastAsia" w:ascii="Cambria" w:hAnsi="Cambria" w:eastAsia="楷体_GB2312" w:cs="Times New Roman"/>
          <w:bCs/>
          <w:snapToGrid/>
          <w:kern w:val="2"/>
          <w:sz w:val="32"/>
          <w:szCs w:val="32"/>
          <w:lang w:val="en-US" w:eastAsia="zh-CN" w:bidi="ar-SA"/>
        </w:rPr>
        <w:t>（四） 效果</w:t>
      </w:r>
      <w:bookmarkEnd w:id="19"/>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根据评</w:t>
      </w:r>
      <w:r>
        <w:rPr>
          <w:rFonts w:hint="eastAsia" w:ascii="仿宋" w:hAnsi="仿宋" w:eastAsia="仿宋" w:cs="仿宋"/>
          <w:color w:val="auto"/>
          <w:sz w:val="30"/>
          <w:szCs w:val="30"/>
          <w:highlight w:val="none"/>
          <w:lang w:val="en-US" w:eastAsia="zh-CN"/>
        </w:rPr>
        <w:t>分标准</w:t>
      </w:r>
      <w:r>
        <w:rPr>
          <w:rFonts w:hint="eastAsia" w:ascii="仿宋" w:hAnsi="仿宋" w:eastAsia="仿宋" w:cs="仿宋"/>
          <w:color w:val="auto"/>
          <w:sz w:val="30"/>
          <w:szCs w:val="30"/>
          <w:highlight w:val="none"/>
        </w:rPr>
        <w:t>，效果评价</w:t>
      </w:r>
      <w:r>
        <w:rPr>
          <w:rFonts w:hint="eastAsia" w:ascii="仿宋" w:hAnsi="仿宋" w:eastAsia="仿宋" w:cs="仿宋"/>
          <w:color w:val="auto"/>
          <w:sz w:val="30"/>
          <w:szCs w:val="30"/>
          <w:highlight w:val="none"/>
          <w:lang w:val="en-US" w:eastAsia="zh-CN"/>
        </w:rPr>
        <w:t>总分 25 分，</w:t>
      </w:r>
      <w:r>
        <w:rPr>
          <w:rFonts w:hint="eastAsia" w:ascii="仿宋" w:hAnsi="仿宋" w:eastAsia="仿宋" w:cs="仿宋"/>
          <w:color w:val="auto"/>
          <w:sz w:val="30"/>
          <w:szCs w:val="30"/>
          <w:highlight w:val="none"/>
        </w:rPr>
        <w:t>得</w:t>
      </w:r>
      <w:r>
        <w:rPr>
          <w:rFonts w:hint="eastAsia" w:ascii="仿宋" w:hAnsi="仿宋" w:eastAsia="仿宋" w:cs="仿宋"/>
          <w:color w:val="auto"/>
          <w:sz w:val="30"/>
          <w:szCs w:val="30"/>
          <w:highlight w:val="none"/>
          <w:lang w:val="en-US" w:eastAsia="zh-CN"/>
        </w:rPr>
        <w:t xml:space="preserve"> 22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1、经济效益：</w:t>
      </w:r>
      <w:r>
        <w:rPr>
          <w:rFonts w:hint="eastAsia" w:ascii="仿宋" w:hAnsi="仿宋" w:eastAsia="仿宋" w:cs="仿宋"/>
          <w:color w:val="auto"/>
          <w:sz w:val="30"/>
          <w:szCs w:val="30"/>
          <w:highlight w:val="none"/>
        </w:rPr>
        <w:t>（满分</w:t>
      </w:r>
      <w:r>
        <w:rPr>
          <w:rFonts w:hint="eastAsia" w:ascii="仿宋" w:hAnsi="仿宋" w:eastAsia="仿宋" w:cs="仿宋"/>
          <w:color w:val="auto"/>
          <w:sz w:val="30"/>
          <w:szCs w:val="30"/>
          <w:highlight w:val="none"/>
          <w:lang w:val="en-US" w:eastAsia="zh-CN"/>
        </w:rPr>
        <w:t xml:space="preserve"> 6</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default" w:ascii="仿宋" w:hAnsi="仿宋" w:eastAsia="仿宋" w:cs="仿宋"/>
          <w:color w:val="auto"/>
          <w:sz w:val="30"/>
          <w:szCs w:val="30"/>
          <w:highlight w:val="none"/>
          <w:lang w:val="en-US" w:eastAsia="zh-CN"/>
        </w:rPr>
        <w:t>项目区直接受益农民纯收入增加</w:t>
      </w:r>
      <w:r>
        <w:rPr>
          <w:rFonts w:hint="eastAsia" w:ascii="仿宋" w:hAnsi="仿宋" w:eastAsia="仿宋" w:cs="仿宋"/>
          <w:color w:val="auto"/>
          <w:sz w:val="30"/>
          <w:szCs w:val="30"/>
          <w:highlight w:val="none"/>
          <w:lang w:val="en-US" w:eastAsia="zh-CN"/>
        </w:rPr>
        <w:t>：</w:t>
      </w:r>
      <w:r>
        <w:rPr>
          <w:rFonts w:hint="eastAsia" w:ascii="仿宋" w:hAnsi="仿宋" w:eastAsia="仿宋" w:cs="仿宋"/>
          <w:color w:val="auto"/>
          <w:sz w:val="30"/>
          <w:szCs w:val="30"/>
          <w:highlight w:val="none"/>
        </w:rPr>
        <w:t>满分</w:t>
      </w:r>
      <w:r>
        <w:rPr>
          <w:rFonts w:hint="eastAsia" w:ascii="仿宋" w:hAnsi="仿宋" w:eastAsia="仿宋" w:cs="仿宋"/>
          <w:color w:val="auto"/>
          <w:sz w:val="30"/>
          <w:szCs w:val="30"/>
          <w:highlight w:val="none"/>
          <w:lang w:val="en-US" w:eastAsia="zh-CN"/>
        </w:rPr>
        <w:t xml:space="preserve"> 6</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 xml:space="preserve">3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根据《怀化市农业农村局关于麻阳苗族自治县郭公坪镇等4个乡镇长寿谷村等38个村高标准农田建设项目（二0二二年）初步设计的批复》，项目区受益农民年纯收入增加总额指标值为485.16万元。截止2023年7月31日，由于2022年度高标准农田建设项目部分尚未投入使用,经济效益效果一般。依据评分标准此项扣 3 分,得分 3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 xml:space="preserve">、社会效益（满分 </w:t>
      </w: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年直接受益农户户数：</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根据《怀化市农业农村局关于麻阳苗族自治县郭公坪镇等4个乡镇长寿谷村等38个村高标准农田建设项目（二0二二年）初步设计的批复》，年直接受益农户户数指标值为7547户。根据麻阳苗族自治县农业农村局的资料，年直接受益农户户数达7547户。依据评分标准此项得 3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年直接受益农业人口数</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 xml:space="preserve"> 分，得分</w:t>
      </w:r>
      <w:r>
        <w:rPr>
          <w:rFonts w:hint="eastAsia" w:ascii="仿宋" w:hAnsi="仿宋" w:eastAsia="仿宋" w:cs="仿宋"/>
          <w:color w:val="auto"/>
          <w:sz w:val="30"/>
          <w:szCs w:val="30"/>
          <w:highlight w:val="none"/>
          <w:lang w:val="en-US" w:eastAsia="zh-CN"/>
        </w:rPr>
        <w:t xml:space="preserve"> 3</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根据《怀化市农业农村局关于麻阳苗族自治县郭公坪镇等4个乡镇长寿谷村等38个村高标准农田建设项目（二0二二年）初步设计的批复》，年直接受益农业人口数指标值为30190人。根据麻阳苗族自治县农业农村局提供相关资料，年直接受益农业人口数达30190人。依据评分标准此项得 3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生态效益</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 xml:space="preserve">7 </w:t>
      </w:r>
      <w:r>
        <w:rPr>
          <w:rFonts w:hint="eastAsia" w:ascii="仿宋" w:hAnsi="仿宋" w:eastAsia="仿宋" w:cs="仿宋"/>
          <w:color w:val="auto"/>
          <w:sz w:val="30"/>
          <w:szCs w:val="30"/>
          <w:highlight w:val="none"/>
        </w:rPr>
        <w:t xml:space="preserve">分，得分 </w:t>
      </w:r>
      <w:r>
        <w:rPr>
          <w:rFonts w:hint="eastAsia" w:ascii="仿宋" w:hAnsi="仿宋" w:eastAsia="仿宋" w:cs="仿宋"/>
          <w:color w:val="auto"/>
          <w:sz w:val="30"/>
          <w:szCs w:val="30"/>
          <w:highlight w:val="none"/>
          <w:lang w:val="en-US" w:eastAsia="zh-CN"/>
        </w:rPr>
        <w:t xml:space="preserve">7 </w:t>
      </w:r>
      <w:r>
        <w:rPr>
          <w:rFonts w:hint="eastAsia" w:ascii="仿宋" w:hAnsi="仿宋" w:eastAsia="仿宋" w:cs="仿宋"/>
          <w:color w:val="auto"/>
          <w:sz w:val="30"/>
          <w:szCs w:val="30"/>
          <w:highlight w:val="none"/>
        </w:rPr>
        <w:t>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（1）新增和改善灌溉达标面积0.35万亩：满分 1.5 分，得分 1.5 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麻阳苗族自治县农业农村局按照设计要求进行了施工，新增和改善灌溉达标面积达设计要求的0.35万亩。依据评分标准此项得 1.5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（2）新增和改善排水达标面积0.87万亩：满分 1.5 分，得分 1.5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麻阳苗族自治县农业农村局按照设计要求进行了施工，新增和改善排水达标面积达设计要求的0.87万亩。依据评分标准此项得 1.5 分。</w:t>
      </w:r>
    </w:p>
    <w:p>
      <w:pPr>
        <w:keepNext w:val="0"/>
        <w:keepLines w:val="0"/>
        <w:pageBreakBefore w:val="0"/>
        <w:widowControl/>
        <w:numPr>
          <w:ilvl w:val="0"/>
          <w:numId w:val="3"/>
        </w:numPr>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增加机耕面积0.39万亩：满分 1.5 分，得分 1.5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麻阳苗族自治县农业农村局按照设计要求进行了施工，增加机耕面积达设计要求的0.39万亩。依据评分标准此项得 1.5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（4）水资源利用率逐步提升：满分 1.5 分，得分 1.5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项目的实施，完善了农业灌溉基础设施，减少水资源的损失，水资源利用率逐步提升。依据评分标准此项得 1.5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（5）田间道路通达率：满分 1 分，得分 1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321" w:leftChars="153" w:firstLine="498" w:firstLineChars="166"/>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麻阳苗族自治县农业农村局按照设计要求进行了施工，田间道路通达率达到设计要求的90%，依据评分标准此项得 1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受益群众</w:t>
      </w:r>
      <w:r>
        <w:rPr>
          <w:rFonts w:hint="eastAsia" w:ascii="仿宋" w:hAnsi="仿宋" w:eastAsia="仿宋" w:cs="仿宋"/>
          <w:color w:val="auto"/>
          <w:sz w:val="30"/>
          <w:szCs w:val="30"/>
          <w:highlight w:val="none"/>
        </w:rPr>
        <w:t xml:space="preserve">满意度：满分 </w:t>
      </w: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 xml:space="preserve">6 </w:t>
      </w:r>
      <w:r>
        <w:rPr>
          <w:rFonts w:hint="eastAsia" w:ascii="仿宋" w:hAnsi="仿宋" w:eastAsia="仿宋" w:cs="仿宋"/>
          <w:color w:val="auto"/>
          <w:sz w:val="30"/>
          <w:szCs w:val="30"/>
          <w:highlight w:val="none"/>
        </w:rPr>
        <w:t>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项目组根据方案设计了社会公众满意度调查问卷</w:t>
      </w:r>
      <w:r>
        <w:rPr>
          <w:rFonts w:hint="eastAsia" w:ascii="Times New Roman" w:hAnsi="Times New Roman" w:eastAsia="仿宋_GB2312" w:cs="Times New Roman"/>
          <w:sz w:val="32"/>
          <w:szCs w:val="32"/>
          <w:highlight w:val="none"/>
          <w:lang w:val="en-US" w:eastAsia="zh-CN"/>
        </w:rPr>
        <w:t>，</w:t>
      </w:r>
      <w:r>
        <w:rPr>
          <w:rFonts w:hint="eastAsia" w:ascii="仿宋" w:hAnsi="仿宋" w:eastAsia="仿宋" w:cs="仿宋"/>
          <w:color w:val="auto"/>
          <w:sz w:val="30"/>
          <w:szCs w:val="30"/>
          <w:highlight w:val="none"/>
          <w:lang w:val="en-US" w:eastAsia="zh-CN"/>
        </w:rPr>
        <w:t>并</w:t>
      </w:r>
      <w:r>
        <w:rPr>
          <w:rFonts w:hint="eastAsia" w:ascii="仿宋" w:hAnsi="仿宋" w:eastAsia="仿宋" w:cs="仿宋"/>
          <w:color w:val="auto"/>
          <w:sz w:val="30"/>
          <w:szCs w:val="30"/>
          <w:highlight w:val="none"/>
        </w:rPr>
        <w:t>向</w:t>
      </w:r>
      <w:r>
        <w:rPr>
          <w:rFonts w:hint="eastAsia" w:ascii="仿宋" w:hAnsi="仿宋" w:eastAsia="仿宋" w:cs="仿宋"/>
          <w:color w:val="auto"/>
          <w:sz w:val="30"/>
          <w:szCs w:val="30"/>
          <w:highlight w:val="none"/>
          <w:lang w:val="en-US" w:eastAsia="zh-CN"/>
        </w:rPr>
        <w:t>项目实施区受益群众发放调查问卷，通过对回收的有效问卷的分析，受益群众满意度为98%，依据评分标准得 6 分。</w:t>
      </w:r>
    </w:p>
    <w:p>
      <w:pPr>
        <w:pStyle w:val="2"/>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eastAsia" w:ascii="Calibri" w:hAnsi="Calibri" w:eastAsia="黑体" w:cs="Times New Roman"/>
          <w:bCs/>
          <w:snapToGrid/>
          <w:sz w:val="32"/>
          <w:szCs w:val="44"/>
          <w:lang w:val="en-US" w:eastAsia="zh-CN" w:bidi="ar-SA"/>
        </w:rPr>
      </w:pPr>
      <w:bookmarkStart w:id="20" w:name="_Toc7862"/>
      <w:r>
        <w:rPr>
          <w:rFonts w:hint="eastAsia" w:ascii="Calibri" w:hAnsi="Calibri" w:eastAsia="黑体" w:cs="Times New Roman"/>
          <w:bCs/>
          <w:snapToGrid/>
          <w:sz w:val="32"/>
          <w:szCs w:val="44"/>
          <w:lang w:val="en-US" w:eastAsia="zh-CN" w:bidi="ar-SA"/>
        </w:rPr>
        <w:t>四、评价结论</w:t>
      </w:r>
      <w:bookmarkEnd w:id="20"/>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根据评价小组的绩效分析，</w:t>
      </w:r>
      <w:r>
        <w:rPr>
          <w:rFonts w:hint="eastAsia" w:ascii="仿宋" w:hAnsi="仿宋" w:eastAsia="仿宋" w:cs="仿宋"/>
          <w:color w:val="auto"/>
          <w:sz w:val="30"/>
          <w:szCs w:val="30"/>
          <w:highlight w:val="none"/>
          <w:lang w:val="en-US" w:eastAsia="zh-CN"/>
        </w:rPr>
        <w:t>麻阳苗族自治县郭公坪镇等4个乡镇长寿谷村等38个村高标准农田建设项目（二0二二年）绩效</w:t>
      </w:r>
      <w:r>
        <w:rPr>
          <w:rFonts w:hint="eastAsia" w:ascii="仿宋" w:hAnsi="仿宋" w:eastAsia="仿宋" w:cs="仿宋"/>
          <w:color w:val="auto"/>
          <w:sz w:val="30"/>
          <w:szCs w:val="30"/>
          <w:highlight w:val="none"/>
        </w:rPr>
        <w:t xml:space="preserve">评价综合得分为 </w:t>
      </w:r>
      <w:r>
        <w:rPr>
          <w:rFonts w:hint="eastAsia" w:ascii="仿宋" w:hAnsi="仿宋" w:eastAsia="仿宋" w:cs="仿宋"/>
          <w:color w:val="auto"/>
          <w:sz w:val="30"/>
          <w:szCs w:val="30"/>
          <w:highlight w:val="none"/>
          <w:lang w:val="en-US" w:eastAsia="zh-CN"/>
        </w:rPr>
        <w:t>90.4</w:t>
      </w:r>
      <w:r>
        <w:rPr>
          <w:rFonts w:hint="eastAsia" w:ascii="仿宋" w:hAnsi="仿宋" w:eastAsia="仿宋" w:cs="仿宋"/>
          <w:color w:val="auto"/>
          <w:sz w:val="30"/>
          <w:szCs w:val="30"/>
          <w:highlight w:val="none"/>
        </w:rPr>
        <w:t xml:space="preserve"> 分（具体如下表），评价等级为</w:t>
      </w:r>
      <w:r>
        <w:rPr>
          <w:rFonts w:hint="eastAsia" w:ascii="仿宋" w:hAnsi="仿宋" w:eastAsia="仿宋" w:cs="仿宋"/>
          <w:color w:val="auto"/>
          <w:sz w:val="30"/>
          <w:szCs w:val="30"/>
          <w:highlight w:val="none"/>
          <w:lang w:val="en-US" w:eastAsia="zh-CN"/>
        </w:rPr>
        <w:t>优</w:t>
      </w:r>
      <w:r>
        <w:rPr>
          <w:rFonts w:hint="eastAsia" w:ascii="仿宋" w:hAnsi="仿宋" w:eastAsia="仿宋" w:cs="仿宋"/>
          <w:color w:val="auto"/>
          <w:sz w:val="30"/>
          <w:szCs w:val="30"/>
          <w:highlight w:val="none"/>
        </w:rPr>
        <w:t>。</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 xml:space="preserve"> </w:t>
      </w:r>
      <w:r>
        <w:rPr>
          <w:rFonts w:hint="eastAsia" w:ascii="仿宋" w:hAnsi="仿宋" w:eastAsia="仿宋" w:cs="仿宋"/>
          <w:color w:val="auto"/>
          <w:sz w:val="30"/>
          <w:szCs w:val="30"/>
          <w:highlight w:val="none"/>
          <w:lang w:val="en-US" w:eastAsia="zh-CN"/>
        </w:rPr>
        <w:t>麻阳苗族自治县郭公坪镇等4个乡镇长寿谷村等38个村高标准农田建设项目绩效</w:t>
      </w:r>
      <w:r>
        <w:rPr>
          <w:rFonts w:hint="eastAsia" w:ascii="仿宋" w:hAnsi="仿宋" w:eastAsia="仿宋" w:cs="仿宋"/>
          <w:color w:val="auto"/>
          <w:sz w:val="30"/>
          <w:szCs w:val="30"/>
          <w:highlight w:val="none"/>
        </w:rPr>
        <w:t>评价评分表</w:t>
      </w:r>
      <w:r>
        <w:rPr>
          <w:rFonts w:hint="eastAsia" w:ascii="仿宋" w:hAnsi="仿宋" w:eastAsia="仿宋" w:cs="仿宋"/>
          <w:color w:val="auto"/>
          <w:sz w:val="30"/>
          <w:szCs w:val="30"/>
          <w:highlight w:val="none"/>
          <w:lang w:val="en-US" w:eastAsia="zh-CN"/>
        </w:rPr>
        <w:t>:</w:t>
      </w:r>
    </w:p>
    <w:tbl>
      <w:tblPr>
        <w:tblStyle w:val="15"/>
        <w:tblW w:w="8676" w:type="dxa"/>
        <w:tblInd w:w="5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15"/>
        <w:gridCol w:w="2748"/>
        <w:gridCol w:w="271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评价指标</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标准分值</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评价得分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投入</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13</w:t>
            </w:r>
            <w:r>
              <w:rPr>
                <w:rFonts w:hint="eastAsia" w:ascii="仿宋" w:hAnsi="仿宋" w:eastAsia="仿宋" w:cs="仿宋"/>
                <w:color w:val="auto"/>
                <w:sz w:val="30"/>
                <w:szCs w:val="30"/>
                <w:highlight w:val="none"/>
              </w:rPr>
              <w:t xml:space="preserve"> 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过程</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22</w:t>
            </w:r>
            <w:r>
              <w:rPr>
                <w:rFonts w:hint="eastAsia" w:ascii="仿宋" w:hAnsi="仿宋" w:eastAsia="仿宋" w:cs="仿宋"/>
                <w:color w:val="auto"/>
                <w:sz w:val="30"/>
                <w:szCs w:val="30"/>
                <w:highlight w:val="none"/>
              </w:rPr>
              <w:t xml:space="preserve"> 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产出</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35</w:t>
            </w:r>
            <w:r>
              <w:rPr>
                <w:rFonts w:hint="eastAsia" w:ascii="仿宋" w:hAnsi="仿宋" w:eastAsia="仿宋" w:cs="仿宋"/>
                <w:color w:val="auto"/>
                <w:sz w:val="30"/>
                <w:szCs w:val="30"/>
                <w:highlight w:val="none"/>
              </w:rPr>
              <w:t xml:space="preserve"> 分</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 xml:space="preserve">33.4 </w:t>
            </w:r>
            <w:r>
              <w:rPr>
                <w:rFonts w:hint="eastAsia" w:ascii="仿宋" w:hAnsi="仿宋" w:eastAsia="仿宋" w:cs="仿宋"/>
                <w:color w:val="auto"/>
                <w:sz w:val="30"/>
                <w:szCs w:val="30"/>
                <w:highlight w:val="none"/>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效果</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 xml:space="preserve">25 </w:t>
            </w:r>
            <w:r>
              <w:rPr>
                <w:rFonts w:hint="eastAsia" w:ascii="仿宋" w:hAnsi="仿宋" w:eastAsia="仿宋" w:cs="仿宋"/>
                <w:color w:val="auto"/>
                <w:sz w:val="30"/>
                <w:szCs w:val="30"/>
                <w:highlight w:val="none"/>
              </w:rPr>
              <w:t>分</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22</w:t>
            </w:r>
            <w:r>
              <w:rPr>
                <w:rFonts w:hint="eastAsia" w:ascii="仿宋" w:hAnsi="仿宋" w:eastAsia="仿宋" w:cs="仿宋"/>
                <w:color w:val="auto"/>
                <w:sz w:val="30"/>
                <w:szCs w:val="30"/>
                <w:highlight w:val="none"/>
              </w:rPr>
              <w:t xml:space="preserve"> 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综合绩效</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100 分</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90.4</w:t>
            </w:r>
            <w:r>
              <w:rPr>
                <w:rFonts w:hint="eastAsia" w:ascii="仿宋" w:hAnsi="仿宋" w:eastAsia="仿宋" w:cs="仿宋"/>
                <w:color w:val="auto"/>
                <w:sz w:val="30"/>
                <w:szCs w:val="30"/>
                <w:highlight w:val="none"/>
              </w:rPr>
              <w:t xml:space="preserve"> 分</w:t>
            </w:r>
          </w:p>
        </w:tc>
      </w:tr>
    </w:tbl>
    <w:p>
      <w:pPr>
        <w:pStyle w:val="2"/>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eastAsia" w:ascii="Calibri" w:hAnsi="Calibri" w:eastAsia="黑体" w:cs="Times New Roman"/>
          <w:bCs/>
          <w:snapToGrid/>
          <w:sz w:val="32"/>
          <w:szCs w:val="44"/>
          <w:lang w:val="en-US" w:eastAsia="zh-CN" w:bidi="ar-SA"/>
        </w:rPr>
      </w:pPr>
      <w:bookmarkStart w:id="21" w:name="_Toc9398"/>
      <w:r>
        <w:rPr>
          <w:rFonts w:hint="eastAsia" w:ascii="Calibri" w:hAnsi="Calibri" w:eastAsia="黑体" w:cs="Times New Roman"/>
          <w:bCs/>
          <w:snapToGrid/>
          <w:sz w:val="32"/>
          <w:szCs w:val="44"/>
          <w:lang w:val="en-US" w:eastAsia="zh-CN" w:bidi="ar-SA"/>
        </w:rPr>
        <w:t>五、存在的问题和建议</w:t>
      </w:r>
      <w:bookmarkEnd w:id="21"/>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22" w:name="_Toc18957"/>
      <w:r>
        <w:rPr>
          <w:rFonts w:hint="eastAsia" w:ascii="Cambria" w:hAnsi="Cambria" w:eastAsia="楷体_GB2312" w:cs="Times New Roman"/>
          <w:bCs/>
          <w:snapToGrid/>
          <w:kern w:val="2"/>
          <w:sz w:val="32"/>
          <w:szCs w:val="32"/>
          <w:lang w:val="en-US" w:eastAsia="zh-CN" w:bidi="ar-SA"/>
        </w:rPr>
        <w:t>（一） 存在的问题</w:t>
      </w:r>
      <w:bookmarkEnd w:id="22"/>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1、绩效指标的设置不合理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麻阳苗族自治县农业农村局设定的部分绩效指标，不符合《怀化市农业农村局关于麻阳苗族自治县郭公坪镇等4个乡镇长寿谷村等38个村高标准农田建设项目（二0二二年）初步设计的批复》的要求。</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2、县财政未及时拨付资金</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val="en-US" w:eastAsia="zh-CN"/>
        </w:rPr>
      </w:pPr>
      <w:bookmarkStart w:id="23" w:name="_bookmark21"/>
      <w:bookmarkEnd w:id="23"/>
      <w:r>
        <w:rPr>
          <w:rFonts w:hint="eastAsia" w:ascii="仿宋" w:hAnsi="仿宋" w:eastAsia="仿宋" w:cs="仿宋"/>
          <w:color w:val="auto"/>
          <w:sz w:val="30"/>
          <w:szCs w:val="30"/>
          <w:highlight w:val="none"/>
          <w:lang w:val="en-US" w:eastAsia="zh-CN"/>
        </w:rPr>
        <w:t>麻阳苗族自治县郭公坪镇等4个乡镇长寿谷村等38个村高标准农田建设项目（二0二二年）安排中央省财政资金3136万元，其中：</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2022年5月9日，湖南省财政厅印发《湖南省财政厅关于下达2022年中央农田建设补助资金的通知》（湘财预〔2022〕55号），分配给麻阳苗族自治县2022年中央财政农田建设补助资金1285万元。</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2022年9月1日，湖南省财政厅印发《湖南省财政厅关于下达2022年高标准农田建设资金的通知》（湘财农指〔2022〕57号），分配给麻阳苗族自治县2022年中央财政农田建设补助资金873万元。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2022年8月2日，湖南省财政厅印发《湖南省财政厅关于下达2022年省级财政衔接推进乡村振兴补助资金的通知》，下达麻阳苗族自治县2022年高标准农田建设资金978万元。</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截止2023年7月31日，项目实际收到财政拨入资金1090.10万元，尚有2,045.90万元滞留在县财政。</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3、科技措施（杀虫灯）未实施</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麻阳苗族自治县农业农村局未按照《怀化市农业农村局关于麻阳苗族自治县郭公坪镇等4个乡镇长寿谷村等38个村高标准农田建设项目（二0二二年）初步设计的批复》的要求实施科技措施（杀虫灯）任务。</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24" w:name="_Toc28528"/>
      <w:r>
        <w:rPr>
          <w:rFonts w:hint="eastAsia" w:ascii="Cambria" w:hAnsi="Cambria" w:eastAsia="楷体_GB2312" w:cs="Times New Roman"/>
          <w:bCs/>
          <w:snapToGrid/>
          <w:kern w:val="2"/>
          <w:sz w:val="32"/>
          <w:szCs w:val="32"/>
          <w:lang w:val="en-US" w:eastAsia="zh-CN" w:bidi="ar-SA"/>
        </w:rPr>
        <w:t>（二） 改进建议</w:t>
      </w:r>
      <w:bookmarkEnd w:id="24"/>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1、进一步规范绩效管理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项目绩效目标和绩效指标要按照《湖南省预算绩效目标管理办法》和项目批复的具体要求设置。</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lang w:val="en-US" w:eastAsia="zh-CN"/>
        </w:rPr>
        <w:t xml:space="preserve"> </w:t>
      </w:r>
      <w:r>
        <w:rPr>
          <w:rFonts w:hint="eastAsia" w:ascii="仿宋" w:hAnsi="仿宋" w:eastAsia="仿宋" w:cs="仿宋"/>
          <w:color w:val="auto"/>
          <w:sz w:val="30"/>
          <w:szCs w:val="30"/>
          <w:highlight w:val="none"/>
          <w:lang w:val="en-US" w:eastAsia="zh-CN"/>
        </w:rPr>
        <w:t>2、进一步规范项目资料的申报与审查</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规范项目资料的申报与审查，项目实施单位应积极与相关主管部门及时协调与衔接，避免出现项目主要要素前后不相符合的情况。否则，不利于项目的实施和成本的控制，不利于责任的划分。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3、财政按照预算及时拨付资金，提高项目的执行率</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财政部门应根据预算及时拨付财政资金，切实提高项目的执行率和财政资金的使用效益。</w:t>
      </w:r>
    </w:p>
    <w:p>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0" w:after="0" w:line="540" w:lineRule="exact"/>
        <w:ind w:left="22" w:leftChars="0" w:firstLine="560" w:firstLineChars="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严格按照相关批复的要求实施项目。</w:t>
      </w:r>
    </w:p>
    <w:p>
      <w:pPr>
        <w:pStyle w:val="2"/>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default" w:ascii="Calibri" w:hAnsi="Calibri" w:eastAsia="黑体" w:cs="Times New Roman"/>
          <w:bCs/>
          <w:snapToGrid/>
          <w:sz w:val="32"/>
          <w:szCs w:val="44"/>
          <w:lang w:val="en-US" w:eastAsia="zh-CN" w:bidi="ar-SA"/>
        </w:rPr>
      </w:pPr>
      <w:bookmarkStart w:id="25" w:name="_Toc19649"/>
      <w:r>
        <w:rPr>
          <w:rFonts w:hint="eastAsia" w:ascii="Calibri" w:hAnsi="Calibri" w:eastAsia="黑体" w:cs="Times New Roman"/>
          <w:bCs/>
          <w:snapToGrid/>
          <w:sz w:val="32"/>
          <w:szCs w:val="44"/>
          <w:lang w:val="en-US" w:eastAsia="zh-CN" w:bidi="ar-SA"/>
        </w:rPr>
        <w:t>六、</w:t>
      </w:r>
      <w:bookmarkStart w:id="26" w:name="_Toc16918"/>
      <w:r>
        <w:rPr>
          <w:rFonts w:hint="eastAsia" w:ascii="Calibri" w:hAnsi="Calibri" w:eastAsia="黑体" w:cs="Times New Roman"/>
          <w:bCs/>
          <w:snapToGrid/>
          <w:sz w:val="32"/>
          <w:szCs w:val="44"/>
          <w:lang w:val="en-US" w:eastAsia="zh-CN" w:bidi="ar-SA"/>
        </w:rPr>
        <w:t>其他需说明的情况</w:t>
      </w:r>
      <w:bookmarkEnd w:id="25"/>
      <w:bookmarkEnd w:id="26"/>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本次评价是依据财政部及省、市有关部门的文件规定和要求进行的，选择的绩效评价程序取决于评估人员的判断，绩效评价的可靠性基于相关部门和单位提供资料的全面性和准确性，评价小组尽可能地收集更为全面、有效、准确的文件和数据，但由于受客观因素的限制，只能在相关部门和单位提供的现有资料的前提下，结合应有的职业判断做出尽可能可靠的评价结论。</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2、本公司及本次评价人员与委托评价单位和项目实施单位之间不存在任何特殊的、需要回避的利害关系，评价人员在评价过程中恪守了职业道德规范。</w:t>
      </w:r>
    </w:p>
    <w:p>
      <w:pPr>
        <w:pStyle w:val="2"/>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eastAsia" w:ascii="Calibri" w:hAnsi="Calibri" w:eastAsia="黑体" w:cs="Times New Roman"/>
          <w:bCs/>
          <w:snapToGrid/>
          <w:sz w:val="32"/>
          <w:szCs w:val="44"/>
          <w:lang w:val="en-US" w:eastAsia="zh-CN" w:bidi="ar-SA"/>
        </w:rPr>
      </w:pPr>
      <w:bookmarkStart w:id="27" w:name="_Toc25427"/>
      <w:r>
        <w:rPr>
          <w:rFonts w:hint="eastAsia" w:ascii="Calibri" w:hAnsi="Calibri" w:eastAsia="黑体" w:cs="Times New Roman"/>
          <w:bCs/>
          <w:snapToGrid/>
          <w:sz w:val="32"/>
          <w:szCs w:val="44"/>
          <w:lang w:val="en-US" w:eastAsia="zh-CN" w:bidi="ar-SA"/>
        </w:rPr>
        <w:t>七、附件</w:t>
      </w:r>
      <w:bookmarkEnd w:id="27"/>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麻阳苗族自治县郭公坪镇等4个乡镇长寿谷村等38个村高标准农田建设项目（二0二二年）绩效评价指标评分表</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firstLine="3900" w:firstLineChars="130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   湖南泰信会计师事务所有限公司</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                               2023年10月29日</w:t>
      </w:r>
      <w:bookmarkStart w:id="28" w:name="_bookmark22"/>
      <w:bookmarkEnd w:id="28"/>
      <w:bookmarkStart w:id="29" w:name="_bookmark15"/>
      <w:bookmarkEnd w:id="29"/>
      <w:bookmarkStart w:id="30" w:name="_bookmark17"/>
      <w:bookmarkEnd w:id="30"/>
      <w:bookmarkStart w:id="31" w:name="_bookmark16"/>
      <w:bookmarkEnd w:id="31"/>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sectPr>
          <w:footerReference r:id="rId10" w:type="default"/>
          <w:pgSz w:w="11906" w:h="16838"/>
          <w:pgMar w:top="1003" w:right="1417" w:bottom="1003" w:left="1701" w:header="851" w:footer="992" w:gutter="0"/>
          <w:pgBorders>
            <w:top w:val="none" w:sz="0" w:space="0"/>
            <w:left w:val="none" w:sz="0" w:space="0"/>
            <w:bottom w:val="none" w:sz="0" w:space="0"/>
            <w:right w:val="none" w:sz="0" w:space="0"/>
          </w:pgBorders>
          <w:pgNumType w:start="1"/>
          <w:cols w:space="0" w:num="1"/>
          <w:rtlGutter w:val="0"/>
          <w:docGrid w:type="lines" w:linePitch="312" w:charSpace="0"/>
        </w:sectPr>
      </w:pPr>
    </w:p>
    <w:tbl>
      <w:tblPr>
        <w:tblStyle w:val="13"/>
        <w:tblW w:w="13905"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76"/>
        <w:gridCol w:w="939"/>
        <w:gridCol w:w="1502"/>
        <w:gridCol w:w="728"/>
        <w:gridCol w:w="3286"/>
        <w:gridCol w:w="4941"/>
        <w:gridCol w:w="10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13919" w:type="dxa"/>
            <w:gridSpan w:val="7"/>
            <w:tcBorders>
              <w:top w:val="nil"/>
              <w:left w:val="nil"/>
              <w:bottom w:val="nil"/>
              <w:right w:val="nil"/>
            </w:tcBorders>
            <w:shd w:val="clear" w:color="auto" w:fill="CCE8C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snapToGrid w:val="0"/>
                <w:color w:val="000000"/>
                <w:kern w:val="0"/>
                <w:sz w:val="36"/>
                <w:szCs w:val="36"/>
                <w:u w:val="none"/>
                <w:lang w:val="en-US" w:eastAsia="zh-CN" w:bidi="ar"/>
              </w:rPr>
              <w:t>麻阳苗族自治县郭公坪镇等4个乡镇长寿谷村等38个村                                                   高标准农田建设项目（二0二二年）绩效评价指标评分表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5" w:hRule="atLeast"/>
        </w:trPr>
        <w:tc>
          <w:tcPr>
            <w:tcW w:w="85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Style w:val="17"/>
                <w:snapToGrid w:val="0"/>
                <w:color w:val="000000"/>
                <w:lang w:val="en-US" w:eastAsia="zh-CN" w:bidi="ar"/>
              </w:rPr>
              <w:t>一级指标</w:t>
            </w:r>
          </w:p>
        </w:tc>
        <w:tc>
          <w:tcPr>
            <w:tcW w:w="9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Style w:val="17"/>
                <w:snapToGrid w:val="0"/>
                <w:color w:val="000000"/>
                <w:lang w:val="en-US" w:eastAsia="zh-CN" w:bidi="ar"/>
              </w:rPr>
              <w:t>二级指标</w:t>
            </w:r>
          </w:p>
        </w:tc>
        <w:tc>
          <w:tcPr>
            <w:tcW w:w="156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Style w:val="17"/>
                <w:snapToGrid w:val="0"/>
                <w:color w:val="000000"/>
                <w:lang w:val="en-US" w:eastAsia="zh-CN" w:bidi="ar"/>
              </w:rPr>
              <w:t>三级指标</w:t>
            </w:r>
          </w:p>
        </w:tc>
        <w:tc>
          <w:tcPr>
            <w:tcW w:w="74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分值</w:t>
            </w:r>
          </w:p>
        </w:tc>
        <w:tc>
          <w:tcPr>
            <w:tcW w:w="349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Style w:val="17"/>
                <w:snapToGrid w:val="0"/>
                <w:color w:val="000000"/>
                <w:lang w:val="en-US" w:eastAsia="zh-CN" w:bidi="ar"/>
              </w:rPr>
              <w:t>指标解释</w:t>
            </w:r>
          </w:p>
        </w:tc>
        <w:tc>
          <w:tcPr>
            <w:tcW w:w="52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Style w:val="17"/>
                <w:snapToGrid w:val="0"/>
                <w:color w:val="000000"/>
                <w:lang w:val="en-US" w:eastAsia="zh-CN" w:bidi="ar"/>
              </w:rPr>
              <w:t>评分标准</w:t>
            </w:r>
          </w:p>
        </w:tc>
        <w:tc>
          <w:tcPr>
            <w:tcW w:w="106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Style w:val="17"/>
                <w:snapToGrid w:val="0"/>
                <w:color w:val="000000"/>
                <w:lang w:val="en-US" w:eastAsia="zh-CN" w:bidi="ar"/>
              </w:rPr>
              <w:t>评价得分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决策 （15分）　</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项目立项（4分）　</w:t>
            </w:r>
          </w:p>
        </w:tc>
        <w:tc>
          <w:tcPr>
            <w:tcW w:w="156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立项依据充分性</w:t>
            </w:r>
          </w:p>
        </w:tc>
        <w:tc>
          <w:tcPr>
            <w:tcW w:w="74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2</w:t>
            </w:r>
          </w:p>
        </w:tc>
        <w:tc>
          <w:tcPr>
            <w:tcW w:w="349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项目立项是否符合法律法规、相关政策、发展规划以及部门职责，用以反映和考核项目立项依据情况。</w:t>
            </w:r>
          </w:p>
        </w:tc>
        <w:tc>
          <w:tcPr>
            <w:tcW w:w="52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①项目立项符合国家法律法规、国民经济发展规划和相关政策、行业发展规划和政策要求，计0.5分；</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②项目立项与部门职责范围相符，属于部门履职所需，计0.5分；</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③项目属于公共财政支持范围，符合中央、地方事权支出责任划分原则，计0.5分；</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④项目未与相关部门同类项目或部门内部相关项目重复，计0.5分。</w:t>
            </w:r>
          </w:p>
        </w:tc>
        <w:tc>
          <w:tcPr>
            <w:tcW w:w="106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宋体" w:hAnsi="宋体" w:eastAsia="宋体" w:cs="宋体"/>
                <w:i w:val="0"/>
                <w:iCs w:val="0"/>
                <w:color w:val="000000"/>
                <w:sz w:val="18"/>
                <w:szCs w:val="18"/>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宋体" w:hAnsi="宋体" w:eastAsia="宋体" w:cs="宋体"/>
                <w:i w:val="0"/>
                <w:iCs w:val="0"/>
                <w:color w:val="000000"/>
                <w:sz w:val="18"/>
                <w:szCs w:val="18"/>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立项程序规范性</w:t>
            </w:r>
          </w:p>
        </w:tc>
        <w:tc>
          <w:tcPr>
            <w:tcW w:w="74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2</w:t>
            </w:r>
          </w:p>
        </w:tc>
        <w:tc>
          <w:tcPr>
            <w:tcW w:w="349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Style w:val="18"/>
                <w:snapToGrid w:val="0"/>
                <w:color w:val="000000"/>
                <w:lang w:val="en-US" w:eastAsia="zh-CN" w:bidi="ar"/>
              </w:rPr>
              <w:t>项目申请、设立过程是否符合相关要求，用以反映和考核项目立项的规范情况。</w:t>
            </w:r>
          </w:p>
        </w:tc>
        <w:tc>
          <w:tcPr>
            <w:tcW w:w="52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①项目按照规定的程序申请设立，计1分；</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②审批文件、材料符合相关要求，计1分。</w:t>
            </w:r>
          </w:p>
        </w:tc>
        <w:tc>
          <w:tcPr>
            <w:tcW w:w="106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宋体" w:hAnsi="宋体" w:eastAsia="宋体" w:cs="宋体"/>
                <w:i w:val="0"/>
                <w:iCs w:val="0"/>
                <w:color w:val="000000"/>
                <w:sz w:val="18"/>
                <w:szCs w:val="18"/>
                <w:u w:val="none"/>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绩效目标（6分）　</w:t>
            </w:r>
          </w:p>
        </w:tc>
        <w:tc>
          <w:tcPr>
            <w:tcW w:w="156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绩效目标合理性</w:t>
            </w:r>
          </w:p>
        </w:tc>
        <w:tc>
          <w:tcPr>
            <w:tcW w:w="74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3</w:t>
            </w:r>
          </w:p>
        </w:tc>
        <w:tc>
          <w:tcPr>
            <w:tcW w:w="349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Style w:val="18"/>
                <w:snapToGrid w:val="0"/>
                <w:color w:val="000000"/>
                <w:lang w:val="en-US" w:eastAsia="zh-CN" w:bidi="ar"/>
              </w:rPr>
              <w:t>项目所设定的绩效目标是否依据充分，是否符合客观实际，用以反映和考核项目绩效目标与项目实施的相符情况。</w:t>
            </w:r>
          </w:p>
        </w:tc>
        <w:tc>
          <w:tcPr>
            <w:tcW w:w="52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①专项资金设定了绩效目标，计1分，否则不得分；</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②与预算确定的项目投资额或资金量相匹配，计1分，否则不得分；</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③绩效目标与项目实施内容有相关性，计1分，否则不得分。</w:t>
            </w:r>
          </w:p>
        </w:tc>
        <w:tc>
          <w:tcPr>
            <w:tcW w:w="106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宋体" w:hAnsi="宋体" w:eastAsia="宋体" w:cs="宋体"/>
                <w:i w:val="0"/>
                <w:iCs w:val="0"/>
                <w:color w:val="000000"/>
                <w:sz w:val="18"/>
                <w:szCs w:val="18"/>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宋体" w:hAnsi="宋体" w:eastAsia="宋体" w:cs="宋体"/>
                <w:i w:val="0"/>
                <w:iCs w:val="0"/>
                <w:color w:val="000000"/>
                <w:sz w:val="18"/>
                <w:szCs w:val="18"/>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绩效指标明确性</w:t>
            </w:r>
          </w:p>
        </w:tc>
        <w:tc>
          <w:tcPr>
            <w:tcW w:w="74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3</w:t>
            </w:r>
          </w:p>
        </w:tc>
        <w:tc>
          <w:tcPr>
            <w:tcW w:w="349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Style w:val="18"/>
                <w:snapToGrid w:val="0"/>
                <w:color w:val="000000"/>
                <w:lang w:val="en-US" w:eastAsia="zh-CN" w:bidi="ar"/>
              </w:rPr>
              <w:t>依据绩效目标设定的绩效指标是否清晰、细化、可衡量等，用以反映和考核项目绩效目标的明细化情况。</w:t>
            </w:r>
          </w:p>
        </w:tc>
        <w:tc>
          <w:tcPr>
            <w:tcW w:w="52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Style w:val="18"/>
                <w:snapToGrid w:val="0"/>
                <w:color w:val="000000"/>
                <w:lang w:val="en-US" w:eastAsia="zh-CN" w:bidi="ar"/>
              </w:rPr>
              <w:t>①将项目绩效目标细化分解为具体的绩效指标，计</w:t>
            </w:r>
            <w:r>
              <w:rPr>
                <w:rStyle w:val="19"/>
                <w:rFonts w:eastAsia="宋体"/>
                <w:snapToGrid w:val="0"/>
                <w:color w:val="000000"/>
                <w:lang w:val="en-US" w:eastAsia="zh-CN" w:bidi="ar"/>
              </w:rPr>
              <w:t>1</w:t>
            </w:r>
            <w:r>
              <w:rPr>
                <w:rStyle w:val="18"/>
                <w:snapToGrid w:val="0"/>
                <w:color w:val="000000"/>
                <w:lang w:val="en-US" w:eastAsia="zh-CN" w:bidi="ar"/>
              </w:rPr>
              <w:t>分；</w:t>
            </w:r>
            <w:r>
              <w:rPr>
                <w:rStyle w:val="18"/>
                <w:snapToGrid w:val="0"/>
                <w:color w:val="000000"/>
                <w:lang w:val="en-US" w:eastAsia="zh-CN" w:bidi="ar"/>
              </w:rPr>
              <w:br w:type="textWrapping"/>
            </w:r>
            <w:r>
              <w:rPr>
                <w:rStyle w:val="18"/>
                <w:snapToGrid w:val="0"/>
                <w:color w:val="000000"/>
                <w:lang w:val="en-US" w:eastAsia="zh-CN" w:bidi="ar"/>
              </w:rPr>
              <w:t>②通过清晰、可衡量的指标值予以体现，计1分；</w:t>
            </w:r>
            <w:r>
              <w:rPr>
                <w:rStyle w:val="18"/>
                <w:snapToGrid w:val="0"/>
                <w:color w:val="000000"/>
                <w:lang w:val="en-US" w:eastAsia="zh-CN" w:bidi="ar"/>
              </w:rPr>
              <w:br w:type="textWrapping"/>
            </w:r>
            <w:r>
              <w:rPr>
                <w:rStyle w:val="18"/>
                <w:snapToGrid w:val="0"/>
                <w:color w:val="000000"/>
                <w:lang w:val="en-US" w:eastAsia="zh-CN" w:bidi="ar"/>
              </w:rPr>
              <w:t>③与项目目标任务数或计划数相对应，计1分。</w:t>
            </w:r>
          </w:p>
        </w:tc>
        <w:tc>
          <w:tcPr>
            <w:tcW w:w="106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宋体" w:hAnsi="宋体" w:eastAsia="宋体" w:cs="宋体"/>
                <w:i w:val="0"/>
                <w:iCs w:val="0"/>
                <w:color w:val="000000"/>
                <w:sz w:val="18"/>
                <w:szCs w:val="18"/>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资金投入（5分）</w:t>
            </w:r>
          </w:p>
        </w:tc>
        <w:tc>
          <w:tcPr>
            <w:tcW w:w="156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预算编制科学性</w:t>
            </w:r>
          </w:p>
        </w:tc>
        <w:tc>
          <w:tcPr>
            <w:tcW w:w="74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5</w:t>
            </w:r>
          </w:p>
        </w:tc>
        <w:tc>
          <w:tcPr>
            <w:tcW w:w="349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项目预算编制是否经过科学论证、有明确标准，资金额度与年度目标是否相适应，用以反映和考核项目预算编制的科学性、合理性情况。</w:t>
            </w:r>
          </w:p>
        </w:tc>
        <w:tc>
          <w:tcPr>
            <w:tcW w:w="52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①预算内容与项目内容匹配，计1分，否则不得分；                                     ②预算额度按照标准编制、测算依据充分，计2分，否则不得分；                                        ③预算确定的项目投资额或资金量与工作任务相匹配，计2分，否则不得分。</w:t>
            </w:r>
          </w:p>
        </w:tc>
        <w:tc>
          <w:tcPr>
            <w:tcW w:w="106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过程 （25分）</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资金管理（15分）</w:t>
            </w:r>
          </w:p>
        </w:tc>
        <w:tc>
          <w:tcPr>
            <w:tcW w:w="156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18"/>
                <w:snapToGrid w:val="0"/>
                <w:color w:val="000000"/>
                <w:lang w:val="en-US" w:eastAsia="zh-CN" w:bidi="ar"/>
              </w:rPr>
              <w:t>资金到位率</w:t>
            </w:r>
          </w:p>
        </w:tc>
        <w:tc>
          <w:tcPr>
            <w:tcW w:w="74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5</w:t>
            </w:r>
          </w:p>
        </w:tc>
        <w:tc>
          <w:tcPr>
            <w:tcW w:w="349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Style w:val="18"/>
                <w:snapToGrid w:val="0"/>
                <w:color w:val="000000"/>
                <w:lang w:val="en-US" w:eastAsia="zh-CN" w:bidi="ar"/>
              </w:rPr>
              <w:t>实际到位资金与预算资金的比率，用以反映和考核资金落实情况对项目实施的总体保障程度。</w:t>
            </w:r>
          </w:p>
        </w:tc>
        <w:tc>
          <w:tcPr>
            <w:tcW w:w="52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资金到位率=（实际到位资金/预算资金）×100%。资金到位率100%计5分，每下降10%（含）扣0.5分，扣完为止。</w:t>
            </w:r>
          </w:p>
        </w:tc>
        <w:tc>
          <w:tcPr>
            <w:tcW w:w="106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宋体" w:hAnsi="宋体" w:eastAsia="宋体" w:cs="宋体"/>
                <w:i w:val="0"/>
                <w:iCs w:val="0"/>
                <w:color w:val="000000"/>
                <w:sz w:val="18"/>
                <w:szCs w:val="18"/>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宋体" w:hAnsi="宋体" w:eastAsia="宋体" w:cs="宋体"/>
                <w:i w:val="0"/>
                <w:iCs w:val="0"/>
                <w:color w:val="000000"/>
                <w:sz w:val="18"/>
                <w:szCs w:val="18"/>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18"/>
                <w:snapToGrid w:val="0"/>
                <w:color w:val="000000"/>
                <w:lang w:val="en-US" w:eastAsia="zh-CN" w:bidi="ar"/>
              </w:rPr>
              <w:t>预算执行率</w:t>
            </w:r>
          </w:p>
        </w:tc>
        <w:tc>
          <w:tcPr>
            <w:tcW w:w="74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5</w:t>
            </w:r>
          </w:p>
        </w:tc>
        <w:tc>
          <w:tcPr>
            <w:tcW w:w="349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Style w:val="18"/>
                <w:snapToGrid w:val="0"/>
                <w:color w:val="000000"/>
                <w:lang w:val="en-US" w:eastAsia="zh-CN" w:bidi="ar"/>
              </w:rPr>
              <w:t>项目预算资金是否按照计划执行，用以反映或考核项目预算执行情况。</w:t>
            </w:r>
          </w:p>
        </w:tc>
        <w:tc>
          <w:tcPr>
            <w:tcW w:w="52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预算执行率=（实际支出资金/实际到位资金）×100%，项目资金执行率100%,计5分，每下降10%（含）扣1分，扣完为止。</w:t>
            </w:r>
          </w:p>
        </w:tc>
        <w:tc>
          <w:tcPr>
            <w:tcW w:w="106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宋体" w:hAnsi="宋体" w:eastAsia="宋体" w:cs="宋体"/>
                <w:i w:val="0"/>
                <w:iCs w:val="0"/>
                <w:color w:val="000000"/>
                <w:sz w:val="18"/>
                <w:szCs w:val="18"/>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宋体" w:hAnsi="宋体" w:eastAsia="宋体" w:cs="宋体"/>
                <w:i w:val="0"/>
                <w:iCs w:val="0"/>
                <w:color w:val="000000"/>
                <w:sz w:val="18"/>
                <w:szCs w:val="18"/>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资金使用合规性</w:t>
            </w:r>
          </w:p>
        </w:tc>
        <w:tc>
          <w:tcPr>
            <w:tcW w:w="74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5</w:t>
            </w:r>
          </w:p>
        </w:tc>
        <w:tc>
          <w:tcPr>
            <w:tcW w:w="349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Style w:val="18"/>
                <w:snapToGrid w:val="0"/>
                <w:color w:val="000000"/>
                <w:lang w:val="en-US" w:eastAsia="zh-CN" w:bidi="ar"/>
              </w:rPr>
              <w:t>项目资金使用是否符合相关的财务管理制度规定，用以反映和考核项目资金的规范运行情况。</w:t>
            </w:r>
          </w:p>
        </w:tc>
        <w:tc>
          <w:tcPr>
            <w:tcW w:w="52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①符合国家财经法规和财务管理制度以及有关专项资金管理办法的规定,计2分，否则不得分；</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②专账核算专项资金的使用、专款专用,计2分，否则不得分；</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③资金的拨付有完整的审批程序和手续,计1分，否则不得分；</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④存在截留、挤占、挪用、虚列支出情况本项5分全扣。</w:t>
            </w:r>
          </w:p>
        </w:tc>
        <w:tc>
          <w:tcPr>
            <w:tcW w:w="106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宋体" w:hAnsi="宋体" w:eastAsia="宋体" w:cs="宋体"/>
                <w:i w:val="0"/>
                <w:iCs w:val="0"/>
                <w:color w:val="000000"/>
                <w:sz w:val="18"/>
                <w:szCs w:val="18"/>
                <w:u w:val="none"/>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组织实施（10分）</w:t>
            </w:r>
          </w:p>
        </w:tc>
        <w:tc>
          <w:tcPr>
            <w:tcW w:w="156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管理制度健全性</w:t>
            </w:r>
          </w:p>
        </w:tc>
        <w:tc>
          <w:tcPr>
            <w:tcW w:w="74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5</w:t>
            </w:r>
          </w:p>
        </w:tc>
        <w:tc>
          <w:tcPr>
            <w:tcW w:w="349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项目实施单位的财务和业务管理制度是否健全，用以反映和考核财务和业务管理制度对项目顺利实施的保障情况。</w:t>
            </w:r>
          </w:p>
        </w:tc>
        <w:tc>
          <w:tcPr>
            <w:tcW w:w="52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①已制定或具有相应的财务和业务管理制度,计3分，否则酌情扣分；</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②财务和业务管理制度内容合法、合规、完整，计2分，否则酌情扣分。</w:t>
            </w:r>
          </w:p>
        </w:tc>
        <w:tc>
          <w:tcPr>
            <w:tcW w:w="106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宋体" w:hAnsi="宋体" w:eastAsia="宋体" w:cs="宋体"/>
                <w:i w:val="0"/>
                <w:iCs w:val="0"/>
                <w:color w:val="000000"/>
                <w:sz w:val="18"/>
                <w:szCs w:val="18"/>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宋体" w:hAnsi="宋体" w:eastAsia="宋体" w:cs="宋体"/>
                <w:i w:val="0"/>
                <w:iCs w:val="0"/>
                <w:color w:val="000000"/>
                <w:sz w:val="18"/>
                <w:szCs w:val="18"/>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制度执行有效性</w:t>
            </w:r>
          </w:p>
        </w:tc>
        <w:tc>
          <w:tcPr>
            <w:tcW w:w="74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5</w:t>
            </w:r>
          </w:p>
        </w:tc>
        <w:tc>
          <w:tcPr>
            <w:tcW w:w="349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项目实施是否符合相关项目管理制度规定，用以反映和考核相关项目管理制度的有效执行情况。</w:t>
            </w:r>
          </w:p>
        </w:tc>
        <w:tc>
          <w:tcPr>
            <w:tcW w:w="52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①项目实施严格依据法律法规、制度、程序执行，计2分，否则不得分；                                                      ②业务执行过程有关资料完整，归档及时，计2分，否则不得分；                         ③预算支出实施的人员条件、场地设备、信息支撑等落实到位，计1分，否则不得分。</w:t>
            </w:r>
          </w:p>
        </w:tc>
        <w:tc>
          <w:tcPr>
            <w:tcW w:w="106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855" w:type="dxa"/>
            <w:vMerge w:val="restart"/>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产出  （35分）</w:t>
            </w:r>
          </w:p>
        </w:tc>
        <w:tc>
          <w:tcPr>
            <w:tcW w:w="9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成本指标</w:t>
            </w:r>
          </w:p>
        </w:tc>
        <w:tc>
          <w:tcPr>
            <w:tcW w:w="156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成本节约率</w:t>
            </w:r>
          </w:p>
        </w:tc>
        <w:tc>
          <w:tcPr>
            <w:tcW w:w="74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10</w:t>
            </w:r>
          </w:p>
        </w:tc>
        <w:tc>
          <w:tcPr>
            <w:tcW w:w="349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考核郭公坪镇等4个乡镇长寿谷村等38个村                                                   高标准农田建设项目（二0二二年）成本的控制情况</w:t>
            </w:r>
          </w:p>
        </w:tc>
        <w:tc>
          <w:tcPr>
            <w:tcW w:w="52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Style w:val="18"/>
                <w:snapToGrid w:val="0"/>
                <w:color w:val="000000"/>
                <w:lang w:val="en-US" w:eastAsia="zh-CN" w:bidi="ar"/>
              </w:rPr>
              <w:t>成本节约率</w:t>
            </w:r>
            <w:r>
              <w:rPr>
                <w:rStyle w:val="20"/>
                <w:rFonts w:eastAsia="宋体"/>
                <w:snapToGrid w:val="0"/>
                <w:color w:val="000000"/>
                <w:lang w:val="en-US" w:eastAsia="zh-CN" w:bidi="ar"/>
              </w:rPr>
              <w:t>≥</w:t>
            </w:r>
            <w:r>
              <w:rPr>
                <w:rStyle w:val="18"/>
                <w:snapToGrid w:val="0"/>
                <w:color w:val="000000"/>
                <w:lang w:val="en-US" w:eastAsia="zh-CN" w:bidi="ar"/>
              </w:rPr>
              <w:t>0，得10分；</w:t>
            </w:r>
            <w:r>
              <w:rPr>
                <w:rStyle w:val="18"/>
                <w:snapToGrid w:val="0"/>
                <w:color w:val="000000"/>
                <w:lang w:val="en-US" w:eastAsia="zh-CN" w:bidi="ar"/>
              </w:rPr>
              <w:br w:type="textWrapping"/>
            </w:r>
            <w:r>
              <w:rPr>
                <w:rStyle w:val="18"/>
                <w:snapToGrid w:val="0"/>
                <w:color w:val="000000"/>
                <w:lang w:val="en-US" w:eastAsia="zh-CN" w:bidi="ar"/>
              </w:rPr>
              <w:t>成本节约率&lt;0，绝对值每超出1%，扣1分，扣完为止。</w:t>
            </w:r>
          </w:p>
        </w:tc>
        <w:tc>
          <w:tcPr>
            <w:tcW w:w="0" w:type="auto"/>
            <w:tcBorders>
              <w:top w:val="single" w:color="000000" w:sz="4" w:space="0"/>
              <w:left w:val="single" w:color="000000" w:sz="4" w:space="0"/>
              <w:bottom w:val="single" w:color="000000" w:sz="4" w:space="0"/>
              <w:right w:val="single" w:color="000000" w:sz="4" w:space="0"/>
            </w:tcBorders>
            <w:shd w:val="clear" w:color="auto" w:fill="CCE8C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宋体" w:hAnsi="宋体" w:eastAsia="宋体" w:cs="宋体"/>
                <w:i w:val="0"/>
                <w:iCs w:val="0"/>
                <w:color w:val="000000"/>
                <w:sz w:val="18"/>
                <w:szCs w:val="18"/>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数量指标</w:t>
            </w:r>
          </w:p>
        </w:tc>
        <w:tc>
          <w:tcPr>
            <w:tcW w:w="156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实际完成率</w:t>
            </w:r>
          </w:p>
        </w:tc>
        <w:tc>
          <w:tcPr>
            <w:tcW w:w="74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10</w:t>
            </w:r>
          </w:p>
        </w:tc>
        <w:tc>
          <w:tcPr>
            <w:tcW w:w="349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考核郭公坪镇等4个乡镇长寿谷村等38个村                                                   高标准农田建设项目（二0二二年）建设产出数量的控制情况</w:t>
            </w:r>
          </w:p>
        </w:tc>
        <w:tc>
          <w:tcPr>
            <w:tcW w:w="52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1-8标段，土壤改良17640亩、科技措施（杀虫灯）、耕地质量检测17640亩等11项分项工程全部完成，实际完成率100%，得10分；</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实际完成率&lt;100%，得分为实际完成率×10</w:t>
            </w:r>
          </w:p>
        </w:tc>
        <w:tc>
          <w:tcPr>
            <w:tcW w:w="0" w:type="auto"/>
            <w:tcBorders>
              <w:top w:val="single" w:color="000000" w:sz="4" w:space="0"/>
              <w:left w:val="single" w:color="000000" w:sz="4" w:space="0"/>
              <w:bottom w:val="single" w:color="000000" w:sz="4" w:space="0"/>
              <w:right w:val="single" w:color="000000" w:sz="4" w:space="0"/>
            </w:tcBorders>
            <w:shd w:val="clear" w:color="auto" w:fill="CCE8C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宋体" w:hAnsi="宋体" w:eastAsia="宋体" w:cs="宋体"/>
                <w:i w:val="0"/>
                <w:iCs w:val="0"/>
                <w:color w:val="000000"/>
                <w:sz w:val="18"/>
                <w:szCs w:val="18"/>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质量指标</w:t>
            </w:r>
          </w:p>
        </w:tc>
        <w:tc>
          <w:tcPr>
            <w:tcW w:w="156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质量达标率</w:t>
            </w:r>
          </w:p>
        </w:tc>
        <w:tc>
          <w:tcPr>
            <w:tcW w:w="74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8</w:t>
            </w:r>
          </w:p>
        </w:tc>
        <w:tc>
          <w:tcPr>
            <w:tcW w:w="349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考核郭公坪镇等4个乡镇长寿谷村等38个村                                                   高标准农田建设项目（二0二二年）建设质量的控制情况</w:t>
            </w:r>
          </w:p>
        </w:tc>
        <w:tc>
          <w:tcPr>
            <w:tcW w:w="52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实际得分为：质量达标率×8</w:t>
            </w:r>
          </w:p>
        </w:tc>
        <w:tc>
          <w:tcPr>
            <w:tcW w:w="106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eastAsia" w:ascii="宋体" w:hAnsi="宋体" w:eastAsia="宋体" w:cs="宋体"/>
                <w:i w:val="0"/>
                <w:iCs w:val="0"/>
                <w:color w:val="000000"/>
                <w:sz w:val="18"/>
                <w:szCs w:val="18"/>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时效指标</w:t>
            </w:r>
          </w:p>
        </w:tc>
        <w:tc>
          <w:tcPr>
            <w:tcW w:w="156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完成及时性</w:t>
            </w:r>
          </w:p>
        </w:tc>
        <w:tc>
          <w:tcPr>
            <w:tcW w:w="74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7</w:t>
            </w:r>
          </w:p>
        </w:tc>
        <w:tc>
          <w:tcPr>
            <w:tcW w:w="349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考核郭公坪镇等4个乡镇长寿谷村等38个村                                                   高标准农田建设项目（二0二二年）完成的及时性情况</w:t>
            </w:r>
          </w:p>
        </w:tc>
        <w:tc>
          <w:tcPr>
            <w:tcW w:w="52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实际完成时间小于计划完成时间，得7分；实际完成时间超计划完成时间，酌情扣分。</w:t>
            </w:r>
          </w:p>
        </w:tc>
        <w:tc>
          <w:tcPr>
            <w:tcW w:w="106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7" w:hRule="exac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CCE8C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效果  （25分）</w:t>
            </w:r>
          </w:p>
        </w:tc>
        <w:tc>
          <w:tcPr>
            <w:tcW w:w="945" w:type="dxa"/>
            <w:tcBorders>
              <w:top w:val="single" w:color="000000" w:sz="4" w:space="0"/>
              <w:left w:val="single" w:color="000000" w:sz="4" w:space="0"/>
              <w:bottom w:val="nil"/>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经济效益</w:t>
            </w:r>
          </w:p>
        </w:tc>
        <w:tc>
          <w:tcPr>
            <w:tcW w:w="156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项目区受益农民年纯收入增加总额485.16万元</w:t>
            </w:r>
          </w:p>
        </w:tc>
        <w:tc>
          <w:tcPr>
            <w:tcW w:w="74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6</w:t>
            </w:r>
          </w:p>
        </w:tc>
        <w:tc>
          <w:tcPr>
            <w:tcW w:w="349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考核郭公坪镇等4个乡镇长寿谷村等38个村                                                   高标准农田建设项目（二0二二年）实施对经济发展的影响情况</w:t>
            </w:r>
          </w:p>
        </w:tc>
        <w:tc>
          <w:tcPr>
            <w:tcW w:w="52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项目区受益农民年纯收入增加总额485.16万元，效果显著</w:t>
            </w:r>
          </w:p>
        </w:tc>
        <w:tc>
          <w:tcPr>
            <w:tcW w:w="106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7" w:hRule="exac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CCE8CF"/>
            <w:noWrap/>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CCE8C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社会效益</w:t>
            </w:r>
          </w:p>
        </w:tc>
        <w:tc>
          <w:tcPr>
            <w:tcW w:w="156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项目区年受益农户户数7547户</w:t>
            </w:r>
          </w:p>
        </w:tc>
        <w:tc>
          <w:tcPr>
            <w:tcW w:w="74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3</w:t>
            </w:r>
          </w:p>
        </w:tc>
        <w:tc>
          <w:tcPr>
            <w:tcW w:w="349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考核郭公坪镇等4个乡镇长寿谷村等38个村                                                   高标准农田建设项目（二0二二年）受益农户户数情况</w:t>
            </w:r>
          </w:p>
        </w:tc>
        <w:tc>
          <w:tcPr>
            <w:tcW w:w="52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受益农户户数达7547户，得5分。未达7547户，视情况酌情扣分</w:t>
            </w:r>
          </w:p>
        </w:tc>
        <w:tc>
          <w:tcPr>
            <w:tcW w:w="106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7" w:hRule="exac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CCE8CF"/>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CCE8CF"/>
            <w:noWrap/>
            <w:vAlign w:val="center"/>
          </w:tcPr>
          <w:p>
            <w:pPr>
              <w:jc w:val="center"/>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项目区年直接受益农业人口数30190人</w:t>
            </w:r>
          </w:p>
        </w:tc>
        <w:tc>
          <w:tcPr>
            <w:tcW w:w="74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3</w:t>
            </w:r>
          </w:p>
        </w:tc>
        <w:tc>
          <w:tcPr>
            <w:tcW w:w="349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考核郭公坪镇等4个乡镇长寿谷村等38个村                                                   高标准农田建设项目（二0二二年）受益农业人口数情况</w:t>
            </w:r>
          </w:p>
        </w:tc>
        <w:tc>
          <w:tcPr>
            <w:tcW w:w="52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受益农民人口数达30190人，得5分。未达30190人，视情况酌情扣分</w:t>
            </w:r>
          </w:p>
        </w:tc>
        <w:tc>
          <w:tcPr>
            <w:tcW w:w="106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7" w:hRule="exac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CCE8CF"/>
            <w:noWrap/>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CCE8C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生态效益</w:t>
            </w:r>
          </w:p>
        </w:tc>
        <w:tc>
          <w:tcPr>
            <w:tcW w:w="156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新增和改善灌溉达标面积0.35万亩</w:t>
            </w:r>
          </w:p>
        </w:tc>
        <w:tc>
          <w:tcPr>
            <w:tcW w:w="74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1.5</w:t>
            </w:r>
          </w:p>
        </w:tc>
        <w:tc>
          <w:tcPr>
            <w:tcW w:w="349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考核项目实施，新增和改善灌溉达标面积情况</w:t>
            </w:r>
          </w:p>
        </w:tc>
        <w:tc>
          <w:tcPr>
            <w:tcW w:w="52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新增和改善灌溉达标面积0.35万亩,得1.5分.其他视情况酌情扣分</w:t>
            </w:r>
          </w:p>
        </w:tc>
        <w:tc>
          <w:tcPr>
            <w:tcW w:w="0" w:type="auto"/>
            <w:tcBorders>
              <w:top w:val="single" w:color="000000" w:sz="4" w:space="0"/>
              <w:left w:val="single" w:color="000000" w:sz="4" w:space="0"/>
              <w:bottom w:val="single" w:color="000000" w:sz="4" w:space="0"/>
              <w:right w:val="single" w:color="000000" w:sz="4" w:space="0"/>
            </w:tcBorders>
            <w:shd w:val="clear" w:color="auto" w:fill="CCE8C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7" w:hRule="exac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CCE8CF"/>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CCE8CF"/>
            <w:noWrap/>
            <w:vAlign w:val="center"/>
          </w:tcPr>
          <w:p>
            <w:pPr>
              <w:jc w:val="center"/>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新增和改善排水达标面积0.87万亩</w:t>
            </w:r>
          </w:p>
        </w:tc>
        <w:tc>
          <w:tcPr>
            <w:tcW w:w="74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1.5</w:t>
            </w:r>
          </w:p>
        </w:tc>
        <w:tc>
          <w:tcPr>
            <w:tcW w:w="349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考核项目实施，新增和改善排水达标面积情况</w:t>
            </w:r>
          </w:p>
        </w:tc>
        <w:tc>
          <w:tcPr>
            <w:tcW w:w="52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新增和改善排水达标面积达0.87万亩,得1.5分.其他视情况酌情扣分</w:t>
            </w:r>
          </w:p>
        </w:tc>
        <w:tc>
          <w:tcPr>
            <w:tcW w:w="0" w:type="auto"/>
            <w:tcBorders>
              <w:top w:val="single" w:color="000000" w:sz="4" w:space="0"/>
              <w:left w:val="single" w:color="000000" w:sz="4" w:space="0"/>
              <w:bottom w:val="single" w:color="000000" w:sz="4" w:space="0"/>
              <w:right w:val="single" w:color="000000" w:sz="4" w:space="0"/>
            </w:tcBorders>
            <w:shd w:val="clear" w:color="auto" w:fill="CCE8C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7" w:hRule="exac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CCE8CF"/>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CCE8CF"/>
            <w:noWrap/>
            <w:vAlign w:val="center"/>
          </w:tcPr>
          <w:p>
            <w:pPr>
              <w:jc w:val="center"/>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增加机耕面积0.39万亩</w:t>
            </w:r>
          </w:p>
        </w:tc>
        <w:tc>
          <w:tcPr>
            <w:tcW w:w="74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1.5</w:t>
            </w:r>
          </w:p>
        </w:tc>
        <w:tc>
          <w:tcPr>
            <w:tcW w:w="349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考核项目实施，增加机耕面积情况</w:t>
            </w:r>
          </w:p>
        </w:tc>
        <w:tc>
          <w:tcPr>
            <w:tcW w:w="52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增加机耕面积0.39万亩，得1.5分。其他视情况酌情扣分</w:t>
            </w:r>
          </w:p>
        </w:tc>
        <w:tc>
          <w:tcPr>
            <w:tcW w:w="0" w:type="auto"/>
            <w:tcBorders>
              <w:top w:val="single" w:color="000000" w:sz="4" w:space="0"/>
              <w:left w:val="single" w:color="000000" w:sz="4" w:space="0"/>
              <w:bottom w:val="single" w:color="000000" w:sz="4" w:space="0"/>
              <w:right w:val="single" w:color="000000" w:sz="4" w:space="0"/>
            </w:tcBorders>
            <w:shd w:val="clear" w:color="auto" w:fill="CCE8C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7" w:hRule="exac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CCE8CF"/>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CCE8CF"/>
            <w:noWrap/>
            <w:vAlign w:val="center"/>
          </w:tcPr>
          <w:p>
            <w:pPr>
              <w:jc w:val="center"/>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水资源利用率逐步提升</w:t>
            </w:r>
          </w:p>
        </w:tc>
        <w:tc>
          <w:tcPr>
            <w:tcW w:w="74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1.5</w:t>
            </w:r>
          </w:p>
        </w:tc>
        <w:tc>
          <w:tcPr>
            <w:tcW w:w="349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考核项目实施，水资源利用率逐步提升</w:t>
            </w:r>
          </w:p>
        </w:tc>
        <w:tc>
          <w:tcPr>
            <w:tcW w:w="52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水资源利用率逐步提升,效果明显,得1.5分.其他视情况酌情扣分</w:t>
            </w:r>
          </w:p>
        </w:tc>
        <w:tc>
          <w:tcPr>
            <w:tcW w:w="0" w:type="auto"/>
            <w:tcBorders>
              <w:top w:val="single" w:color="000000" w:sz="4" w:space="0"/>
              <w:left w:val="single" w:color="000000" w:sz="4" w:space="0"/>
              <w:bottom w:val="single" w:color="000000" w:sz="4" w:space="0"/>
              <w:right w:val="single" w:color="000000" w:sz="4" w:space="0"/>
            </w:tcBorders>
            <w:shd w:val="clear" w:color="auto" w:fill="CCE8C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7" w:hRule="exac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CCE8CF"/>
            <w:noWrap/>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CCE8CF"/>
            <w:noWrap/>
            <w:vAlign w:val="center"/>
          </w:tcPr>
          <w:p>
            <w:pPr>
              <w:jc w:val="center"/>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田间道路通达率</w:t>
            </w:r>
          </w:p>
        </w:tc>
        <w:tc>
          <w:tcPr>
            <w:tcW w:w="74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1</w:t>
            </w:r>
          </w:p>
        </w:tc>
        <w:tc>
          <w:tcPr>
            <w:tcW w:w="349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考核项目实施，田间道路通达率</w:t>
            </w:r>
          </w:p>
        </w:tc>
        <w:tc>
          <w:tcPr>
            <w:tcW w:w="52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田间道路通达率达90%以上,得1分.每下降10%扣0.50分,扣完为止</w:t>
            </w:r>
          </w:p>
        </w:tc>
        <w:tc>
          <w:tcPr>
            <w:tcW w:w="0" w:type="auto"/>
            <w:tcBorders>
              <w:top w:val="single" w:color="000000" w:sz="4" w:space="0"/>
              <w:left w:val="single" w:color="000000" w:sz="4" w:space="0"/>
              <w:bottom w:val="single" w:color="000000" w:sz="4" w:space="0"/>
              <w:right w:val="single" w:color="000000" w:sz="4" w:space="0"/>
            </w:tcBorders>
            <w:shd w:val="clear" w:color="auto" w:fill="CCE8C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7" w:hRule="exac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CCE8CF"/>
            <w:noWrap/>
            <w:vAlign w:val="center"/>
          </w:tcPr>
          <w:p>
            <w:pPr>
              <w:jc w:val="center"/>
              <w:rPr>
                <w:rFonts w:hint="eastAsia" w:ascii="宋体" w:hAnsi="宋体" w:eastAsia="宋体" w:cs="宋体"/>
                <w:i w:val="0"/>
                <w:iCs w:val="0"/>
                <w:color w:val="000000"/>
                <w:sz w:val="18"/>
                <w:szCs w:val="18"/>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满意度</w:t>
            </w:r>
          </w:p>
        </w:tc>
        <w:tc>
          <w:tcPr>
            <w:tcW w:w="156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受益群众满意度</w:t>
            </w:r>
          </w:p>
        </w:tc>
        <w:tc>
          <w:tcPr>
            <w:tcW w:w="74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6</w:t>
            </w:r>
          </w:p>
        </w:tc>
        <w:tc>
          <w:tcPr>
            <w:tcW w:w="349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考核项目实施，受益群众的满意度情况</w:t>
            </w:r>
          </w:p>
        </w:tc>
        <w:tc>
          <w:tcPr>
            <w:tcW w:w="52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受益群众满意率95%,得6分；满意率95%以下，得分为实际满意率/95%*6分</w:t>
            </w:r>
          </w:p>
        </w:tc>
        <w:tc>
          <w:tcPr>
            <w:tcW w:w="106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exact"/>
        </w:trPr>
        <w:tc>
          <w:tcPr>
            <w:tcW w:w="855"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合计</w:t>
            </w:r>
          </w:p>
        </w:tc>
        <w:tc>
          <w:tcPr>
            <w:tcW w:w="945" w:type="dxa"/>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default" w:ascii="Times New Roman" w:hAnsi="Times New Roman" w:eastAsia="宋体" w:cs="Times New Roman"/>
                <w:i w:val="0"/>
                <w:iCs w:val="0"/>
                <w:color w:val="000000"/>
                <w:sz w:val="21"/>
                <w:szCs w:val="21"/>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default" w:ascii="Times New Roman" w:hAnsi="Times New Roman" w:eastAsia="宋体" w:cs="Times New Roman"/>
                <w:i w:val="0"/>
                <w:iCs w:val="0"/>
                <w:color w:val="000000"/>
                <w:sz w:val="21"/>
                <w:szCs w:val="21"/>
                <w:u w:val="none"/>
              </w:rPr>
            </w:pPr>
          </w:p>
        </w:tc>
        <w:tc>
          <w:tcPr>
            <w:tcW w:w="74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100</w:t>
            </w:r>
          </w:p>
        </w:tc>
        <w:tc>
          <w:tcPr>
            <w:tcW w:w="3495" w:type="dxa"/>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default" w:ascii="Times New Roman" w:hAnsi="Times New Roman" w:eastAsia="宋体" w:cs="Times New Roman"/>
                <w:i w:val="0"/>
                <w:iCs w:val="0"/>
                <w:color w:val="000000"/>
                <w:sz w:val="21"/>
                <w:szCs w:val="21"/>
                <w:u w:val="none"/>
              </w:rPr>
            </w:pPr>
          </w:p>
        </w:tc>
        <w:tc>
          <w:tcPr>
            <w:tcW w:w="5250" w:type="dxa"/>
            <w:tcBorders>
              <w:top w:val="single" w:color="000000" w:sz="4" w:space="0"/>
              <w:left w:val="single" w:color="000000" w:sz="4" w:space="0"/>
              <w:bottom w:val="single" w:color="000000" w:sz="4" w:space="0"/>
              <w:right w:val="single" w:color="000000" w:sz="4" w:space="0"/>
            </w:tcBorders>
            <w:shd w:val="clear" w:color="auto" w:fill="CCE8CF"/>
            <w:vAlign w:val="center"/>
          </w:tcPr>
          <w:p>
            <w:pPr>
              <w:jc w:val="center"/>
              <w:rPr>
                <w:rFonts w:hint="default" w:ascii="Times New Roman" w:hAnsi="Times New Roman" w:eastAsia="宋体" w:cs="Times New Roman"/>
                <w:i w:val="0"/>
                <w:iCs w:val="0"/>
                <w:color w:val="000000"/>
                <w:sz w:val="21"/>
                <w:szCs w:val="21"/>
                <w:u w:val="none"/>
              </w:rPr>
            </w:pPr>
          </w:p>
        </w:tc>
        <w:tc>
          <w:tcPr>
            <w:tcW w:w="1067" w:type="dxa"/>
            <w:tcBorders>
              <w:top w:val="single" w:color="000000" w:sz="4" w:space="0"/>
              <w:left w:val="single" w:color="000000" w:sz="4" w:space="0"/>
              <w:bottom w:val="single" w:color="000000" w:sz="4" w:space="0"/>
              <w:right w:val="single" w:color="000000" w:sz="4" w:space="0"/>
            </w:tcBorders>
            <w:shd w:val="clear" w:color="auto" w:fill="CCE8C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90.4</w:t>
            </w:r>
          </w:p>
        </w:tc>
      </w:tr>
    </w:tbl>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p>
    <w:sectPr>
      <w:pgSz w:w="16838" w:h="11906" w:orient="landscape"/>
      <w:pgMar w:top="1134" w:right="850" w:bottom="1134" w:left="1134" w:header="851" w:footer="992" w:gutter="0"/>
      <w:pgBorders>
        <w:top w:val="none" w:sz="0" w:space="0"/>
        <w:left w:val="none" w:sz="0" w:space="0"/>
        <w:bottom w:val="none" w:sz="0" w:space="0"/>
        <w:right w:val="none" w:sz="0" w:space="0"/>
      </w:pgBorders>
      <w:pgNumType w:start="1"/>
      <w:cols w:space="0" w:num="1"/>
      <w:rtlGutter w:val="0"/>
      <w:docGrid w:type="lines" w:linePitch="32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swiss"/>
    <w:pitch w:val="default"/>
    <w:sig w:usb0="E00002FF" w:usb1="6AC7FDFB" w:usb2="08000012" w:usb3="00000000" w:csb0="4002009F" w:csb1="DFD70000"/>
  </w:font>
  <w:font w:name="方正小标宋简体">
    <w:altName w:val="黑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hint="default" w:eastAsia="宋体"/>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jc w:val="center"/>
      <w:rPr>
        <w:rFonts w:hint="default"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19862A"/>
    <w:multiLevelType w:val="singleLevel"/>
    <w:tmpl w:val="E719862A"/>
    <w:lvl w:ilvl="0" w:tentative="0">
      <w:start w:val="3"/>
      <w:numFmt w:val="decimal"/>
      <w:suff w:val="nothing"/>
      <w:lvlText w:val="（%1）"/>
      <w:lvlJc w:val="left"/>
    </w:lvl>
  </w:abstractNum>
  <w:abstractNum w:abstractNumId="1">
    <w:nsid w:val="21AC9432"/>
    <w:multiLevelType w:val="singleLevel"/>
    <w:tmpl w:val="21AC9432"/>
    <w:lvl w:ilvl="0" w:tentative="0">
      <w:start w:val="3"/>
      <w:numFmt w:val="decimal"/>
      <w:suff w:val="nothing"/>
      <w:lvlText w:val="%1、"/>
      <w:lvlJc w:val="left"/>
    </w:lvl>
  </w:abstractNum>
  <w:abstractNum w:abstractNumId="2">
    <w:nsid w:val="572BD911"/>
    <w:multiLevelType w:val="singleLevel"/>
    <w:tmpl w:val="572BD911"/>
    <w:lvl w:ilvl="0" w:tentative="0">
      <w:start w:val="4"/>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60"/>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4NDYxNjJmZDUxYjQ4MDk4ODQ5YTBkZWVhMGFkY2YifQ=="/>
  </w:docVars>
  <w:rsids>
    <w:rsidRoot w:val="00000000"/>
    <w:rsid w:val="017639FF"/>
    <w:rsid w:val="01FA7000"/>
    <w:rsid w:val="020C713B"/>
    <w:rsid w:val="0220306D"/>
    <w:rsid w:val="022E6E50"/>
    <w:rsid w:val="024D6D1F"/>
    <w:rsid w:val="0280468F"/>
    <w:rsid w:val="03586046"/>
    <w:rsid w:val="03A13CA7"/>
    <w:rsid w:val="04AA4594"/>
    <w:rsid w:val="06125D86"/>
    <w:rsid w:val="064E49D8"/>
    <w:rsid w:val="06763F04"/>
    <w:rsid w:val="0A1D35E4"/>
    <w:rsid w:val="0ADD2F10"/>
    <w:rsid w:val="0B012852"/>
    <w:rsid w:val="0B1E17C2"/>
    <w:rsid w:val="0C315C81"/>
    <w:rsid w:val="0CB44363"/>
    <w:rsid w:val="0D7C256C"/>
    <w:rsid w:val="0DFE7425"/>
    <w:rsid w:val="0FAC44FE"/>
    <w:rsid w:val="11C512D6"/>
    <w:rsid w:val="12045226"/>
    <w:rsid w:val="13700EA7"/>
    <w:rsid w:val="13915B88"/>
    <w:rsid w:val="159C4D1D"/>
    <w:rsid w:val="15DB3F06"/>
    <w:rsid w:val="15DF5D8E"/>
    <w:rsid w:val="16E536E2"/>
    <w:rsid w:val="16F52B09"/>
    <w:rsid w:val="18565FD8"/>
    <w:rsid w:val="18574301"/>
    <w:rsid w:val="18800E19"/>
    <w:rsid w:val="18AA76A7"/>
    <w:rsid w:val="19F56D6E"/>
    <w:rsid w:val="1A350834"/>
    <w:rsid w:val="1A6D5BC3"/>
    <w:rsid w:val="1A7E224F"/>
    <w:rsid w:val="1A817493"/>
    <w:rsid w:val="1ABD143B"/>
    <w:rsid w:val="1BD702B9"/>
    <w:rsid w:val="1BE0016A"/>
    <w:rsid w:val="1E1107A1"/>
    <w:rsid w:val="1EEA3FB9"/>
    <w:rsid w:val="1F5C512B"/>
    <w:rsid w:val="1FC55FF4"/>
    <w:rsid w:val="200D5E5A"/>
    <w:rsid w:val="2038020F"/>
    <w:rsid w:val="20C1159E"/>
    <w:rsid w:val="20C74855"/>
    <w:rsid w:val="219B3DF5"/>
    <w:rsid w:val="23C67357"/>
    <w:rsid w:val="24004C6F"/>
    <w:rsid w:val="250768CC"/>
    <w:rsid w:val="25ED3ADD"/>
    <w:rsid w:val="2693085E"/>
    <w:rsid w:val="27D13E32"/>
    <w:rsid w:val="27E92ABB"/>
    <w:rsid w:val="28C42218"/>
    <w:rsid w:val="29424212"/>
    <w:rsid w:val="29624D1D"/>
    <w:rsid w:val="29AE151A"/>
    <w:rsid w:val="2AA91C67"/>
    <w:rsid w:val="2CB317B2"/>
    <w:rsid w:val="2CE1441B"/>
    <w:rsid w:val="2D5438B1"/>
    <w:rsid w:val="2DC25663"/>
    <w:rsid w:val="2F662C24"/>
    <w:rsid w:val="30E27C07"/>
    <w:rsid w:val="31CD0E0A"/>
    <w:rsid w:val="32D3237F"/>
    <w:rsid w:val="336943BF"/>
    <w:rsid w:val="337E053C"/>
    <w:rsid w:val="339C7CFA"/>
    <w:rsid w:val="33A904FB"/>
    <w:rsid w:val="33B10278"/>
    <w:rsid w:val="34A73486"/>
    <w:rsid w:val="34F42306"/>
    <w:rsid w:val="34FB4C38"/>
    <w:rsid w:val="35476AA5"/>
    <w:rsid w:val="35D25479"/>
    <w:rsid w:val="36757C23"/>
    <w:rsid w:val="38651CCB"/>
    <w:rsid w:val="38BA2208"/>
    <w:rsid w:val="38DE4F1D"/>
    <w:rsid w:val="38FD348B"/>
    <w:rsid w:val="39150A96"/>
    <w:rsid w:val="39BA5707"/>
    <w:rsid w:val="3A1B1BF9"/>
    <w:rsid w:val="3A816BFF"/>
    <w:rsid w:val="3A8A3D59"/>
    <w:rsid w:val="3A923681"/>
    <w:rsid w:val="3B0C1015"/>
    <w:rsid w:val="3BB37520"/>
    <w:rsid w:val="3CBD0FE1"/>
    <w:rsid w:val="3D7309E6"/>
    <w:rsid w:val="3DBE7C11"/>
    <w:rsid w:val="3E7C5B7E"/>
    <w:rsid w:val="3E970704"/>
    <w:rsid w:val="3EA76EC6"/>
    <w:rsid w:val="3F46501C"/>
    <w:rsid w:val="3FD85478"/>
    <w:rsid w:val="41B04763"/>
    <w:rsid w:val="4484797D"/>
    <w:rsid w:val="44AE4731"/>
    <w:rsid w:val="45352A25"/>
    <w:rsid w:val="47061F31"/>
    <w:rsid w:val="476870E2"/>
    <w:rsid w:val="487F30BA"/>
    <w:rsid w:val="48AA7E34"/>
    <w:rsid w:val="48F24FC2"/>
    <w:rsid w:val="494C6762"/>
    <w:rsid w:val="4AD444B7"/>
    <w:rsid w:val="4B3A6D67"/>
    <w:rsid w:val="4B612D81"/>
    <w:rsid w:val="4B7472FA"/>
    <w:rsid w:val="4B9E2CD8"/>
    <w:rsid w:val="4CD6689C"/>
    <w:rsid w:val="4D442D67"/>
    <w:rsid w:val="4E5B174E"/>
    <w:rsid w:val="4EBF641E"/>
    <w:rsid w:val="4F444278"/>
    <w:rsid w:val="502E6A7F"/>
    <w:rsid w:val="50377EEC"/>
    <w:rsid w:val="50915E28"/>
    <w:rsid w:val="50CE69A3"/>
    <w:rsid w:val="50F96FFC"/>
    <w:rsid w:val="5176675F"/>
    <w:rsid w:val="517D59F9"/>
    <w:rsid w:val="51C92E73"/>
    <w:rsid w:val="522D3F86"/>
    <w:rsid w:val="523F3361"/>
    <w:rsid w:val="5299005C"/>
    <w:rsid w:val="53364E8A"/>
    <w:rsid w:val="535B6DFC"/>
    <w:rsid w:val="537457EA"/>
    <w:rsid w:val="543C6B1A"/>
    <w:rsid w:val="55523113"/>
    <w:rsid w:val="555F42EB"/>
    <w:rsid w:val="55617D13"/>
    <w:rsid w:val="568B06F7"/>
    <w:rsid w:val="57BB29B9"/>
    <w:rsid w:val="580E6805"/>
    <w:rsid w:val="5AA32C27"/>
    <w:rsid w:val="5C284E23"/>
    <w:rsid w:val="5C53198B"/>
    <w:rsid w:val="5CFD28FE"/>
    <w:rsid w:val="5D093365"/>
    <w:rsid w:val="5D853F47"/>
    <w:rsid w:val="5EB63CA5"/>
    <w:rsid w:val="5F0C25F1"/>
    <w:rsid w:val="5F670679"/>
    <w:rsid w:val="5FF2387F"/>
    <w:rsid w:val="5FFD738A"/>
    <w:rsid w:val="60EE2BBA"/>
    <w:rsid w:val="611D3E2E"/>
    <w:rsid w:val="62863B5C"/>
    <w:rsid w:val="62C17F4F"/>
    <w:rsid w:val="66117BFB"/>
    <w:rsid w:val="66456B14"/>
    <w:rsid w:val="664F676D"/>
    <w:rsid w:val="678A1D5A"/>
    <w:rsid w:val="67D33CC3"/>
    <w:rsid w:val="6977016D"/>
    <w:rsid w:val="69835E19"/>
    <w:rsid w:val="6B065B1F"/>
    <w:rsid w:val="6C0367D5"/>
    <w:rsid w:val="6C6E48EB"/>
    <w:rsid w:val="6D0E2831"/>
    <w:rsid w:val="6D630F95"/>
    <w:rsid w:val="6D973E35"/>
    <w:rsid w:val="6E8027FE"/>
    <w:rsid w:val="6FB41021"/>
    <w:rsid w:val="714479C8"/>
    <w:rsid w:val="72E01923"/>
    <w:rsid w:val="73483F22"/>
    <w:rsid w:val="73644352"/>
    <w:rsid w:val="73D6253C"/>
    <w:rsid w:val="747F57EB"/>
    <w:rsid w:val="74806197"/>
    <w:rsid w:val="74CA6887"/>
    <w:rsid w:val="74E719E4"/>
    <w:rsid w:val="74FF4332"/>
    <w:rsid w:val="76F00D49"/>
    <w:rsid w:val="774F285B"/>
    <w:rsid w:val="77B078BD"/>
    <w:rsid w:val="77DA2DE8"/>
    <w:rsid w:val="7816742F"/>
    <w:rsid w:val="786E5746"/>
    <w:rsid w:val="787F4D9F"/>
    <w:rsid w:val="78C0202A"/>
    <w:rsid w:val="78D715B5"/>
    <w:rsid w:val="79921C19"/>
    <w:rsid w:val="7997722F"/>
    <w:rsid w:val="79EB18FC"/>
    <w:rsid w:val="7A026AFE"/>
    <w:rsid w:val="7A8135BA"/>
    <w:rsid w:val="7B140A2B"/>
    <w:rsid w:val="7B9D7BC9"/>
    <w:rsid w:val="7BE70F0F"/>
    <w:rsid w:val="7C105077"/>
    <w:rsid w:val="7C7E7607"/>
    <w:rsid w:val="7C8574AD"/>
    <w:rsid w:val="7CB53B55"/>
    <w:rsid w:val="7CBD0FFC"/>
    <w:rsid w:val="7D1C7F07"/>
    <w:rsid w:val="7D5C21AC"/>
    <w:rsid w:val="7E0754BE"/>
    <w:rsid w:val="7EAD61F4"/>
    <w:rsid w:val="7F81397C"/>
    <w:rsid w:val="7FFE5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Body Text"/>
    <w:basedOn w:val="1"/>
    <w:next w:val="5"/>
    <w:qFormat/>
    <w:uiPriority w:val="1"/>
    <w:rPr>
      <w:rFonts w:ascii="仿宋" w:hAnsi="仿宋" w:eastAsia="仿宋" w:cs="仿宋"/>
      <w:sz w:val="32"/>
      <w:szCs w:val="32"/>
      <w:lang w:val="zh-CN" w:eastAsia="zh-CN" w:bidi="zh-CN"/>
    </w:rPr>
  </w:style>
  <w:style w:type="paragraph" w:customStyle="1" w:styleId="5">
    <w:name w:val="正文首行缩进1"/>
    <w:basedOn w:val="1"/>
    <w:qFormat/>
    <w:uiPriority w:val="0"/>
    <w:pPr>
      <w:widowControl w:val="0"/>
      <w:spacing w:after="120"/>
      <w:ind w:firstLine="420" w:firstLineChars="100"/>
      <w:jc w:val="both"/>
    </w:pPr>
    <w:rPr>
      <w:rFonts w:hint="eastAsia"/>
      <w:kern w:val="2"/>
      <w:sz w:val="21"/>
      <w:szCs w:val="20"/>
    </w:rPr>
  </w:style>
  <w:style w:type="paragraph" w:styleId="6">
    <w:name w:val="Body Text Indent"/>
    <w:basedOn w:val="1"/>
    <w:qFormat/>
    <w:uiPriority w:val="0"/>
    <w:pPr>
      <w:spacing w:after="120"/>
      <w:ind w:left="420" w:leftChars="2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unhideWhenUsed/>
    <w:qFormat/>
    <w:uiPriority w:val="39"/>
    <w:pPr>
      <w:tabs>
        <w:tab w:val="right" w:leader="dot" w:pos="8948"/>
      </w:tabs>
      <w:spacing w:line="440" w:lineRule="exact"/>
    </w:pPr>
  </w:style>
  <w:style w:type="paragraph" w:styleId="10">
    <w:name w:val="toc 2"/>
    <w:basedOn w:val="1"/>
    <w:next w:val="1"/>
    <w:unhideWhenUsed/>
    <w:qFormat/>
    <w:uiPriority w:val="39"/>
    <w:pPr>
      <w:tabs>
        <w:tab w:val="right" w:leader="dot" w:pos="8948"/>
      </w:tabs>
      <w:spacing w:line="360" w:lineRule="auto"/>
      <w:ind w:left="420" w:leftChars="200"/>
    </w:p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Body Text First Indent 2"/>
    <w:basedOn w:val="6"/>
    <w:unhideWhenUsed/>
    <w:qFormat/>
    <w:uiPriority w:val="0"/>
    <w:pPr>
      <w:ind w:firstLine="420"/>
    </w:pPr>
    <w:rPr>
      <w:rFonts w:ascii="Calibri" w:hAnsi="Calibri"/>
    </w:r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正文1"/>
    <w:basedOn w:val="1"/>
    <w:qFormat/>
    <w:uiPriority w:val="0"/>
    <w:pPr>
      <w:spacing w:line="480" w:lineRule="auto"/>
      <w:ind w:firstLine="200" w:firstLineChars="200"/>
    </w:pPr>
    <w:rPr>
      <w:rFonts w:eastAsia="仿宋"/>
    </w:rPr>
  </w:style>
  <w:style w:type="character" w:customStyle="1" w:styleId="17">
    <w:name w:val="font21"/>
    <w:basedOn w:val="14"/>
    <w:qFormat/>
    <w:uiPriority w:val="0"/>
    <w:rPr>
      <w:rFonts w:hint="eastAsia" w:ascii="宋体" w:hAnsi="宋体" w:eastAsia="宋体" w:cs="宋体"/>
      <w:b/>
      <w:bCs/>
      <w:color w:val="000000"/>
      <w:sz w:val="20"/>
      <w:szCs w:val="20"/>
      <w:u w:val="none"/>
    </w:rPr>
  </w:style>
  <w:style w:type="character" w:customStyle="1" w:styleId="18">
    <w:name w:val="font31"/>
    <w:basedOn w:val="14"/>
    <w:qFormat/>
    <w:uiPriority w:val="0"/>
    <w:rPr>
      <w:rFonts w:hint="eastAsia" w:ascii="宋体" w:hAnsi="宋体" w:eastAsia="宋体" w:cs="宋体"/>
      <w:color w:val="000000"/>
      <w:sz w:val="18"/>
      <w:szCs w:val="18"/>
      <w:u w:val="none"/>
    </w:rPr>
  </w:style>
  <w:style w:type="character" w:customStyle="1" w:styleId="19">
    <w:name w:val="font91"/>
    <w:basedOn w:val="14"/>
    <w:qFormat/>
    <w:uiPriority w:val="0"/>
    <w:rPr>
      <w:rFonts w:hint="default" w:ascii="Times New Roman" w:hAnsi="Times New Roman" w:cs="Times New Roman"/>
      <w:color w:val="000000"/>
      <w:sz w:val="18"/>
      <w:szCs w:val="18"/>
      <w:u w:val="none"/>
    </w:rPr>
  </w:style>
  <w:style w:type="character" w:customStyle="1" w:styleId="20">
    <w:name w:val="font101"/>
    <w:basedOn w:val="14"/>
    <w:uiPriority w:val="0"/>
    <w:rPr>
      <w:rFonts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11468</Words>
  <Characters>12398</Characters>
  <Lines>0</Lines>
  <Paragraphs>0</Paragraphs>
  <TotalTime>127</TotalTime>
  <ScaleCrop>false</ScaleCrop>
  <LinksUpToDate>false</LinksUpToDate>
  <CharactersWithSpaces>12894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2021-10-25T07:05:00Z</dcterms:created>
  <dc:creator>lenovo</dc:creator>
  <cp:lastModifiedBy>Administrator</cp:lastModifiedBy>
  <cp:lastPrinted>2023-08-14T02:04:00Z</cp:lastPrinted>
  <dcterms:modified xsi:type="dcterms:W3CDTF">2023-12-13T01:12:08Z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ACB55FB732074E55BFED28AC3006361F</vt:lpwstr>
  </property>
</Properties>
</file>