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bidi w:val="0"/>
        <w:jc w:val="center"/>
        <w:rPr>
          <w:rFonts w:hint="eastAsia" w:ascii="黑体" w:hAnsi="黑体" w:eastAsia="黑体" w:cs="黑体"/>
          <w:sz w:val="44"/>
          <w:szCs w:val="44"/>
          <w:lang w:val="en-US" w:eastAsia="zh-CN"/>
        </w:rPr>
      </w:pPr>
      <w:r>
        <w:rPr>
          <w:rFonts w:hint="eastAsia" w:ascii="黑体" w:hAnsi="黑体" w:eastAsia="黑体" w:cs="黑体"/>
          <w:sz w:val="44"/>
          <w:szCs w:val="44"/>
          <w:lang w:val="en-US" w:eastAsia="zh-CN"/>
        </w:rPr>
        <w:t>麻阳苗族自治县2022年度                农业保险资金绩效评价报告</w:t>
      </w:r>
    </w:p>
    <w:p>
      <w:pPr>
        <w:autoSpaceDE w:val="0"/>
        <w:spacing w:line="480" w:lineRule="auto"/>
        <w:jc w:val="center"/>
        <w:rPr>
          <w:rFonts w:hint="eastAsia" w:ascii="黑体" w:hAnsi="黑体" w:eastAsia="黑体"/>
          <w:sz w:val="44"/>
          <w:szCs w:val="44"/>
        </w:rPr>
      </w:pPr>
      <w:r>
        <w:rPr>
          <w:rFonts w:hint="eastAsia" w:ascii="黑体" w:hAnsi="黑体" w:eastAsia="黑体"/>
          <w:sz w:val="44"/>
          <w:szCs w:val="44"/>
        </w:rPr>
        <w:t xml:space="preserve"> </w:t>
      </w:r>
    </w:p>
    <w:p>
      <w:pPr>
        <w:autoSpaceDE w:val="0"/>
        <w:spacing w:line="480" w:lineRule="auto"/>
        <w:jc w:val="center"/>
        <w:rPr>
          <w:rFonts w:hint="eastAsia" w:ascii="黑体" w:hAnsi="宋体" w:eastAsia="黑体"/>
          <w:b/>
          <w:bCs/>
          <w:sz w:val="36"/>
          <w:szCs w:val="36"/>
        </w:rPr>
      </w:pPr>
      <w:r>
        <w:rPr>
          <w:rFonts w:hint="eastAsia" w:ascii="黑体" w:hAnsi="宋体" w:eastAsia="黑体"/>
          <w:b/>
          <w:bCs/>
          <w:sz w:val="36"/>
          <w:szCs w:val="36"/>
        </w:rPr>
        <w:t xml:space="preserve"> </w:t>
      </w:r>
    </w:p>
    <w:p>
      <w:pPr>
        <w:jc w:val="center"/>
        <w:rPr>
          <w:rFonts w:hint="eastAsia" w:ascii="宋体" w:hAnsi="宋体"/>
          <w:b/>
          <w:sz w:val="40"/>
          <w:szCs w:val="40"/>
          <w:u w:val="single"/>
        </w:rPr>
      </w:pPr>
      <w:r>
        <w:rPr>
          <w:rFonts w:hint="eastAsia" w:ascii="仿宋" w:hAnsi="仿宋" w:eastAsia="仿宋"/>
          <w:b/>
          <w:bCs/>
          <w:spacing w:val="-20"/>
          <w:sz w:val="36"/>
          <w:szCs w:val="36"/>
        </w:rPr>
        <w:t>湖南泰信</w:t>
      </w:r>
      <w:r>
        <w:rPr>
          <w:rFonts w:hint="eastAsia" w:ascii="仿宋" w:hAnsi="仿宋" w:eastAsia="仿宋"/>
          <w:spacing w:val="-20"/>
          <w:sz w:val="36"/>
          <w:szCs w:val="36"/>
        </w:rPr>
        <w:t>[</w:t>
      </w:r>
      <w:r>
        <w:rPr>
          <w:rFonts w:hint="eastAsia" w:ascii="仿宋" w:hAnsi="仿宋" w:eastAsia="仿宋"/>
          <w:b/>
          <w:bCs/>
          <w:spacing w:val="-20"/>
          <w:sz w:val="36"/>
          <w:szCs w:val="36"/>
        </w:rPr>
        <w:t>202</w:t>
      </w:r>
      <w:r>
        <w:rPr>
          <w:rFonts w:hint="eastAsia" w:ascii="仿宋" w:hAnsi="仿宋" w:eastAsia="仿宋"/>
          <w:b/>
          <w:bCs/>
          <w:spacing w:val="-20"/>
          <w:sz w:val="36"/>
          <w:szCs w:val="36"/>
          <w:lang w:val="en-US" w:eastAsia="zh-CN"/>
        </w:rPr>
        <w:t>3</w:t>
      </w:r>
      <w:r>
        <w:rPr>
          <w:rFonts w:hint="eastAsia" w:ascii="仿宋" w:hAnsi="仿宋" w:eastAsia="仿宋"/>
          <w:b/>
          <w:bCs/>
          <w:spacing w:val="-20"/>
          <w:sz w:val="36"/>
          <w:szCs w:val="36"/>
        </w:rPr>
        <w:t>]</w:t>
      </w:r>
      <w:r>
        <w:rPr>
          <w:rFonts w:hint="eastAsia" w:ascii="仿宋" w:hAnsi="仿宋" w:eastAsia="仿宋"/>
          <w:b/>
          <w:bCs/>
          <w:spacing w:val="-20"/>
          <w:sz w:val="36"/>
          <w:szCs w:val="36"/>
          <w:lang w:val="en-US" w:eastAsia="zh-CN"/>
        </w:rPr>
        <w:t>绩评</w:t>
      </w:r>
      <w:r>
        <w:rPr>
          <w:rFonts w:hint="eastAsia" w:ascii="仿宋" w:hAnsi="仿宋" w:eastAsia="仿宋"/>
          <w:b/>
          <w:bCs/>
          <w:spacing w:val="-20"/>
          <w:sz w:val="36"/>
          <w:szCs w:val="36"/>
        </w:rPr>
        <w:t>第</w:t>
      </w:r>
      <w:r>
        <w:rPr>
          <w:rFonts w:hint="eastAsia" w:ascii="仿宋" w:hAnsi="仿宋" w:eastAsia="仿宋"/>
          <w:b/>
          <w:bCs/>
          <w:spacing w:val="-20"/>
          <w:sz w:val="36"/>
          <w:szCs w:val="36"/>
          <w:lang w:val="en-US" w:eastAsia="zh-CN"/>
        </w:rPr>
        <w:t>72</w:t>
      </w:r>
      <w:bookmarkStart w:id="31" w:name="_GoBack"/>
      <w:bookmarkEnd w:id="31"/>
      <w:r>
        <w:rPr>
          <w:rFonts w:hint="eastAsia" w:ascii="仿宋" w:hAnsi="仿宋" w:eastAsia="仿宋"/>
          <w:b/>
          <w:bCs/>
          <w:spacing w:val="-20"/>
          <w:sz w:val="36"/>
          <w:szCs w:val="36"/>
        </w:rPr>
        <w:t>号</w:t>
      </w:r>
    </w:p>
    <w:p>
      <w:pPr>
        <w:jc w:val="center"/>
        <w:rPr>
          <w:rFonts w:hint="eastAsia" w:ascii="宋体" w:hAnsi="宋体"/>
          <w:b/>
          <w:sz w:val="40"/>
          <w:szCs w:val="40"/>
        </w:rPr>
      </w:pPr>
    </w:p>
    <w:p>
      <w:pPr>
        <w:jc w:val="center"/>
        <w:rPr>
          <w:rFonts w:hint="eastAsia"/>
          <w:bCs/>
          <w:sz w:val="40"/>
          <w:szCs w:val="40"/>
        </w:rPr>
      </w:pPr>
      <w:r>
        <w:rPr>
          <w:bCs/>
          <w:sz w:val="40"/>
          <w:szCs w:val="40"/>
        </w:rPr>
        <w:t xml:space="preserve"> </w:t>
      </w:r>
    </w:p>
    <w:p>
      <w:pPr>
        <w:jc w:val="center"/>
        <w:rPr>
          <w:rFonts w:ascii="宋体" w:hAnsi="宋体"/>
          <w:b/>
          <w:sz w:val="40"/>
          <w:szCs w:val="40"/>
        </w:rPr>
      </w:pPr>
      <w:r>
        <w:rPr>
          <w:rFonts w:hint="eastAsia" w:ascii="宋体" w:hAnsi="宋体"/>
          <w:b/>
          <w:sz w:val="40"/>
          <w:szCs w:val="40"/>
        </w:rPr>
        <w:t xml:space="preserve"> </w:t>
      </w:r>
    </w:p>
    <w:p>
      <w:pPr>
        <w:rPr>
          <w:rFonts w:hint="eastAsia" w:ascii="MS UI Gothic" w:hAnsi="MS UI Gothic" w:cs="MS UI Gothic"/>
          <w:spacing w:val="60"/>
          <w:sz w:val="44"/>
          <w:szCs w:val="44"/>
        </w:rPr>
      </w:pPr>
      <w:r>
        <w:rPr>
          <w:rFonts w:ascii="MS UI Gothic" w:hAnsi="MS UI Gothic" w:cs="MS UI Gothic"/>
          <w:spacing w:val="60"/>
          <w:sz w:val="44"/>
          <w:szCs w:val="44"/>
        </w:rPr>
        <w:t xml:space="preserve"> </w:t>
      </w:r>
    </w:p>
    <w:p>
      <w:pPr>
        <w:rPr>
          <w:rFonts w:ascii="MS UI Gothic" w:hAnsi="MS UI Gothic" w:cs="MS UI Gothic"/>
          <w:spacing w:val="60"/>
          <w:sz w:val="44"/>
          <w:szCs w:val="44"/>
        </w:rPr>
      </w:pPr>
      <w:r>
        <w:rPr>
          <w:rFonts w:ascii="MS UI Gothic" w:hAnsi="MS UI Gothic" w:cs="MS UI Gothic"/>
          <w:spacing w:val="60"/>
          <w:sz w:val="44"/>
          <w:szCs w:val="44"/>
        </w:rPr>
        <w:t xml:space="preserve"> </w:t>
      </w:r>
    </w:p>
    <w:p>
      <w:pPr>
        <w:rPr>
          <w:rFonts w:ascii="MS UI Gothic" w:hAnsi="MS UI Gothic" w:cs="MS UI Gothic"/>
          <w:spacing w:val="60"/>
          <w:sz w:val="44"/>
          <w:szCs w:val="44"/>
        </w:rPr>
      </w:pPr>
      <w:r>
        <w:rPr>
          <w:rFonts w:ascii="MS UI Gothic" w:hAnsi="MS UI Gothic" w:cs="MS UI Gothic"/>
          <w:spacing w:val="60"/>
          <w:sz w:val="44"/>
          <w:szCs w:val="44"/>
        </w:rPr>
        <w:t xml:space="preserve"> </w:t>
      </w:r>
    </w:p>
    <w:p>
      <w:pPr>
        <w:jc w:val="center"/>
        <w:rPr>
          <w:rFonts w:ascii="MS UI Gothic" w:hAnsi="MS UI Gothic" w:cs="MS UI Gothic"/>
          <w:spacing w:val="60"/>
          <w:sz w:val="44"/>
          <w:szCs w:val="44"/>
        </w:rPr>
      </w:pPr>
      <w:r>
        <w:rPr>
          <w:rFonts w:ascii="MS UI Gothic" w:hAnsi="MS UI Gothic" w:cs="MS UI Gothic"/>
          <w:spacing w:val="60"/>
          <w:sz w:val="44"/>
          <w:szCs w:val="44"/>
        </w:rPr>
        <w:t xml:space="preserve"> </w:t>
      </w:r>
    </w:p>
    <w:p>
      <w:pPr>
        <w:jc w:val="center"/>
        <w:rPr>
          <w:rFonts w:ascii="MS UI Gothic" w:hAnsi="MS UI Gothic" w:cs="MS UI Gothic"/>
          <w:spacing w:val="60"/>
          <w:sz w:val="44"/>
          <w:szCs w:val="44"/>
        </w:rPr>
      </w:pPr>
      <w:r>
        <w:rPr>
          <w:rFonts w:ascii="MS UI Gothic" w:hAnsi="MS UI Gothic" w:cs="MS UI Gothic"/>
          <w:spacing w:val="60"/>
          <w:sz w:val="44"/>
          <w:szCs w:val="44"/>
        </w:rPr>
        <w:t xml:space="preserve"> </w:t>
      </w:r>
    </w:p>
    <w:p>
      <w:pPr>
        <w:rPr>
          <w:rFonts w:ascii="MS UI Gothic" w:hAnsi="MS UI Gothic" w:cs="MS UI Gothic"/>
          <w:spacing w:val="60"/>
          <w:sz w:val="44"/>
          <w:szCs w:val="44"/>
        </w:rPr>
      </w:pPr>
      <w:r>
        <w:rPr>
          <w:rFonts w:ascii="MS UI Gothic" w:hAnsi="MS UI Gothic" w:cs="MS UI Gothic"/>
          <w:spacing w:val="60"/>
          <w:sz w:val="44"/>
          <w:szCs w:val="44"/>
        </w:rPr>
        <w:t xml:space="preserve"> </w:t>
      </w:r>
    </w:p>
    <w:p>
      <w:pPr>
        <w:jc w:val="center"/>
        <w:rPr>
          <w:rFonts w:ascii="宋体" w:hAnsi="宋体"/>
          <w:spacing w:val="60"/>
          <w:sz w:val="36"/>
          <w:szCs w:val="36"/>
        </w:rPr>
      </w:pPr>
      <w:r>
        <w:rPr>
          <w:rFonts w:hint="eastAsia" w:ascii="宋体" w:hAnsi="宋体"/>
          <w:spacing w:val="60"/>
          <w:sz w:val="36"/>
          <w:szCs w:val="36"/>
        </w:rPr>
        <w:t>湖南泰信会计师事务所有限公司</w:t>
      </w:r>
    </w:p>
    <w:p>
      <w:pPr>
        <w:pBdr>
          <w:bottom w:val="single" w:color="auto" w:sz="12" w:space="1"/>
        </w:pBdr>
        <w:jc w:val="center"/>
        <w:rPr>
          <w:rFonts w:hint="eastAsia" w:ascii="宋体" w:hAnsi="宋体"/>
          <w:b/>
          <w:sz w:val="36"/>
          <w:szCs w:val="36"/>
        </w:rPr>
      </w:pPr>
      <w:r>
        <w:rPr>
          <w:rFonts w:hint="eastAsia" w:ascii="宋体" w:hAnsi="宋体"/>
          <w:sz w:val="36"/>
          <w:szCs w:val="36"/>
        </w:rPr>
        <w:t xml:space="preserve">HUNAN TAIXIN CERTIFIED PUBLIC ACCOUNTANTS CO.LTD    </w:t>
      </w:r>
      <w:r>
        <w:rPr>
          <w:rFonts w:hint="eastAsia" w:ascii="宋体" w:hAnsi="宋体"/>
          <w:b/>
          <w:sz w:val="36"/>
          <w:szCs w:val="36"/>
        </w:rPr>
        <w:t>湖南●怀化</w:t>
      </w:r>
    </w:p>
    <w:p>
      <w:pPr>
        <w:autoSpaceDE w:val="0"/>
        <w:spacing w:line="480" w:lineRule="auto"/>
        <w:rPr>
          <w:rFonts w:ascii="方正小标宋简体" w:eastAsia="方正小标宋简体"/>
          <w:sz w:val="52"/>
          <w:szCs w:val="52"/>
        </w:rPr>
      </w:pPr>
      <w:r>
        <w:rPr>
          <w:rFonts w:hint="eastAsia" w:ascii="宋体" w:hAnsi="宋体"/>
          <w:b/>
          <w:bCs/>
          <w:sz w:val="48"/>
          <w:szCs w:val="48"/>
        </w:rPr>
        <w:t xml:space="preserve"> </w:t>
      </w:r>
    </w:p>
    <w:p>
      <w:pPr>
        <w:adjustRightInd w:val="0"/>
        <w:snapToGrid w:val="0"/>
        <w:spacing w:line="600" w:lineRule="exact"/>
        <w:ind w:firstLine="1040" w:firstLineChars="200"/>
        <w:rPr>
          <w:rFonts w:ascii="方正小标宋简体" w:eastAsia="方正小标宋简体"/>
          <w:sz w:val="52"/>
          <w:szCs w:val="52"/>
        </w:rPr>
      </w:pPr>
    </w:p>
    <w:p>
      <w:pPr>
        <w:keepNext w:val="0"/>
        <w:keepLines w:val="0"/>
        <w:pageBreakBefore w:val="0"/>
        <w:widowControl/>
        <w:kinsoku w:val="0"/>
        <w:wordWrap/>
        <w:overflowPunct/>
        <w:topLinePunct w:val="0"/>
        <w:autoSpaceDE w:val="0"/>
        <w:autoSpaceDN w:val="0"/>
        <w:bidi w:val="0"/>
        <w:adjustRightInd w:val="0"/>
        <w:snapToGrid w:val="0"/>
        <w:spacing w:before="0" w:after="0"/>
        <w:jc w:val="both"/>
        <w:textAlignment w:val="baseline"/>
        <w:outlineLvl w:val="9"/>
        <w:rPr>
          <w:rFonts w:hint="eastAsia" w:ascii="仿宋" w:hAnsi="仿宋" w:eastAsia="仿宋" w:cs="仿宋"/>
          <w:color w:val="auto"/>
          <w:spacing w:val="-2"/>
          <w:sz w:val="30"/>
          <w:szCs w:val="30"/>
          <w:highlight w:val="none"/>
          <w14:textOutline w14:w="5448" w14:cap="sq" w14:cmpd="sng">
            <w14:solidFill>
              <w14:srgbClr w14:val="000000"/>
            </w14:solidFill>
            <w14:prstDash w14:val="solid"/>
            <w14:bevel/>
          </w14:textOutline>
        </w:rPr>
      </w:pPr>
    </w:p>
    <w:p>
      <w:pPr>
        <w:keepNext w:val="0"/>
        <w:keepLines w:val="0"/>
        <w:pageBreakBefore w:val="0"/>
        <w:widowControl/>
        <w:kinsoku w:val="0"/>
        <w:wordWrap/>
        <w:overflowPunct/>
        <w:topLinePunct w:val="0"/>
        <w:autoSpaceDE w:val="0"/>
        <w:autoSpaceDN w:val="0"/>
        <w:bidi w:val="0"/>
        <w:adjustRightInd w:val="0"/>
        <w:snapToGrid w:val="0"/>
        <w:spacing w:before="0" w:after="0"/>
        <w:jc w:val="both"/>
        <w:textAlignment w:val="baseline"/>
        <w:rPr>
          <w:rFonts w:hint="eastAsia" w:ascii="仿宋" w:hAnsi="仿宋" w:eastAsia="仿宋" w:cs="仿宋"/>
          <w:color w:val="auto"/>
          <w:highlight w:val="none"/>
        </w:rPr>
      </w:pPr>
    </w:p>
    <w:p>
      <w:pPr>
        <w:adjustRightInd w:val="0"/>
        <w:snapToGrid w:val="0"/>
        <w:spacing w:line="600" w:lineRule="exact"/>
        <w:jc w:val="center"/>
        <w:rPr>
          <w:rFonts w:hint="eastAsia" w:ascii="黑体" w:hAnsi="黑体" w:eastAsia="黑体" w:cs="黑体"/>
          <w:sz w:val="44"/>
          <w:szCs w:val="44"/>
          <w:lang w:val="en-US" w:eastAsia="zh-CN"/>
        </w:rPr>
      </w:pPr>
    </w:p>
    <w:p>
      <w:pPr>
        <w:adjustRightInd w:val="0"/>
        <w:snapToGrid w:val="0"/>
        <w:spacing w:line="600" w:lineRule="exact"/>
        <w:jc w:val="center"/>
        <w:rPr>
          <w:rFonts w:hint="eastAsia" w:ascii="黑体" w:hAnsi="黑体" w:eastAsia="黑体" w:cs="黑体"/>
          <w:sz w:val="44"/>
          <w:szCs w:val="44"/>
          <w:lang w:val="en-US" w:eastAsia="zh-CN"/>
        </w:rPr>
      </w:pPr>
    </w:p>
    <w:p>
      <w:pPr>
        <w:bidi w:val="0"/>
        <w:jc w:val="center"/>
        <w:rPr>
          <w:rFonts w:hint="eastAsia" w:ascii="黑体" w:hAnsi="黑体" w:eastAsia="黑体" w:cs="黑体"/>
          <w:sz w:val="44"/>
          <w:szCs w:val="44"/>
          <w:lang w:val="en-US" w:eastAsia="zh-CN"/>
        </w:rPr>
      </w:pPr>
      <w:r>
        <w:rPr>
          <w:rFonts w:hint="eastAsia" w:ascii="黑体" w:hAnsi="黑体" w:eastAsia="黑体" w:cs="黑体"/>
          <w:sz w:val="44"/>
          <w:szCs w:val="44"/>
          <w:lang w:val="en-US" w:eastAsia="zh-CN"/>
        </w:rPr>
        <w:t>麻阳苗族自治县2022年度                  农业保险资金绩效评价报告</w:t>
      </w:r>
    </w:p>
    <w:p>
      <w:pPr>
        <w:adjustRightInd w:val="0"/>
        <w:snapToGrid w:val="0"/>
        <w:spacing w:line="600" w:lineRule="exact"/>
        <w:ind w:firstLine="1040" w:firstLineChars="200"/>
        <w:rPr>
          <w:rFonts w:ascii="方正小标宋简体" w:eastAsia="方正小标宋简体"/>
          <w:sz w:val="52"/>
          <w:szCs w:val="52"/>
        </w:rPr>
      </w:pPr>
    </w:p>
    <w:p>
      <w:pPr>
        <w:pStyle w:val="4"/>
      </w:pPr>
    </w:p>
    <w:p>
      <w:pPr>
        <w:adjustRightInd w:val="0"/>
        <w:snapToGrid w:val="0"/>
        <w:spacing w:line="600" w:lineRule="exact"/>
        <w:ind w:firstLine="1040" w:firstLineChars="200"/>
        <w:rPr>
          <w:rFonts w:ascii="方正小标宋简体" w:eastAsia="方正小标宋简体"/>
          <w:sz w:val="52"/>
          <w:szCs w:val="52"/>
        </w:rPr>
      </w:pPr>
    </w:p>
    <w:p>
      <w:pPr>
        <w:adjustRightInd w:val="0"/>
        <w:snapToGrid w:val="0"/>
        <w:spacing w:line="600" w:lineRule="exact"/>
        <w:ind w:firstLine="1040" w:firstLineChars="200"/>
        <w:rPr>
          <w:rFonts w:ascii="方正小标宋简体" w:eastAsia="方正小标宋简体"/>
          <w:sz w:val="52"/>
          <w:szCs w:val="52"/>
        </w:rPr>
      </w:pPr>
    </w:p>
    <w:p>
      <w:pPr>
        <w:bidi w:val="0"/>
        <w:ind w:firstLine="640" w:firstLineChars="200"/>
        <w:jc w:val="both"/>
        <w:rPr>
          <w:rFonts w:hint="eastAsia" w:ascii="黑体" w:hAnsi="黑体" w:eastAsia="黑体" w:cs="Times New Roman"/>
          <w:sz w:val="32"/>
          <w:szCs w:val="32"/>
          <w:lang w:val="en-US" w:eastAsia="zh-CN"/>
        </w:rPr>
      </w:pPr>
    </w:p>
    <w:p>
      <w:pPr>
        <w:bidi w:val="0"/>
        <w:ind w:firstLine="640" w:firstLineChars="200"/>
        <w:jc w:val="both"/>
        <w:rPr>
          <w:rFonts w:hint="eastAsia" w:ascii="黑体" w:hAnsi="黑体" w:eastAsia="黑体" w:cs="Times New Roman"/>
          <w:sz w:val="32"/>
          <w:szCs w:val="32"/>
          <w:lang w:val="en-US" w:eastAsia="zh-CN"/>
        </w:rPr>
      </w:pPr>
    </w:p>
    <w:p>
      <w:pPr>
        <w:bidi w:val="0"/>
        <w:ind w:firstLine="640" w:firstLineChars="200"/>
        <w:jc w:val="both"/>
        <w:rPr>
          <w:rFonts w:hint="default" w:ascii="Times New Roman" w:hAnsi="Times New Roman" w:eastAsia="仿宋_GB2312" w:cs="Times New Roman"/>
          <w:sz w:val="32"/>
          <w:szCs w:val="32"/>
          <w:u w:val="single"/>
          <w:lang w:val="en-US" w:eastAsia="zh-CN"/>
        </w:rPr>
      </w:pPr>
      <w:r>
        <w:rPr>
          <w:rFonts w:hint="eastAsia" w:ascii="黑体" w:hAnsi="黑体" w:eastAsia="黑体" w:cs="Times New Roman"/>
          <w:sz w:val="32"/>
          <w:szCs w:val="32"/>
          <w:lang w:eastAsia="zh-CN"/>
        </w:rPr>
        <w:t>项目名称：</w:t>
      </w:r>
      <w:r>
        <w:rPr>
          <w:rFonts w:hint="eastAsia" w:ascii="Times New Roman" w:hAnsi="Times New Roman" w:eastAsia="仿宋_GB2312" w:cs="Times New Roman"/>
          <w:sz w:val="32"/>
          <w:szCs w:val="32"/>
          <w:u w:val="single"/>
          <w:lang w:val="en-US" w:eastAsia="zh-CN"/>
        </w:rPr>
        <w:t xml:space="preserve">2022年度农业保险资金                          </w:t>
      </w:r>
    </w:p>
    <w:p>
      <w:pPr>
        <w:adjustRightInd w:val="0"/>
        <w:snapToGrid w:val="0"/>
        <w:spacing w:line="600" w:lineRule="exact"/>
        <w:ind w:firstLine="640" w:firstLineChars="200"/>
        <w:rPr>
          <w:rFonts w:hint="eastAsia" w:ascii="Times New Roman" w:hAnsi="Times New Roman" w:eastAsia="仿宋_GB2312"/>
          <w:sz w:val="32"/>
          <w:szCs w:val="32"/>
          <w:u w:val="single"/>
          <w:lang w:val="en-US" w:eastAsia="zh-CN"/>
        </w:rPr>
      </w:pPr>
      <w:r>
        <w:rPr>
          <w:rFonts w:hint="eastAsia" w:ascii="黑体" w:hAnsi="黑体" w:eastAsia="黑体" w:cs="Times New Roman"/>
          <w:sz w:val="32"/>
          <w:szCs w:val="32"/>
          <w:lang w:eastAsia="zh-CN"/>
        </w:rPr>
        <w:t>项目实施单位</w:t>
      </w:r>
      <w:r>
        <w:rPr>
          <w:rFonts w:hint="eastAsia" w:ascii="黑体" w:hAnsi="黑体" w:eastAsia="黑体"/>
          <w:sz w:val="32"/>
          <w:szCs w:val="32"/>
        </w:rPr>
        <w:t>：</w:t>
      </w:r>
      <w:r>
        <w:rPr>
          <w:rFonts w:hint="eastAsia" w:ascii="Times New Roman" w:hAnsi="Times New Roman" w:eastAsia="仿宋_GB2312" w:cs="Times New Roman"/>
          <w:sz w:val="32"/>
          <w:szCs w:val="32"/>
          <w:u w:val="single"/>
          <w:lang w:val="en-US" w:eastAsia="zh-CN"/>
        </w:rPr>
        <w:t>麻阳苗族自治县财政局</w:t>
      </w:r>
      <w:r>
        <w:rPr>
          <w:rFonts w:hint="eastAsia" w:ascii="Times New Roman" w:hAnsi="Times New Roman" w:eastAsia="仿宋_GB2312"/>
          <w:sz w:val="32"/>
          <w:szCs w:val="32"/>
          <w:u w:val="single"/>
        </w:rPr>
        <w:t xml:space="preserve">              </w:t>
      </w:r>
      <w:r>
        <w:rPr>
          <w:rFonts w:hint="eastAsia" w:ascii="Times New Roman" w:hAnsi="Times New Roman" w:eastAsia="仿宋_GB2312"/>
          <w:sz w:val="32"/>
          <w:szCs w:val="32"/>
          <w:u w:val="single"/>
          <w:lang w:val="en-US" w:eastAsia="zh-CN"/>
        </w:rPr>
        <w:t xml:space="preserve">    </w:t>
      </w:r>
    </w:p>
    <w:p>
      <w:pPr>
        <w:adjustRightInd w:val="0"/>
        <w:snapToGrid w:val="0"/>
        <w:spacing w:line="600" w:lineRule="exact"/>
        <w:ind w:left="2234" w:leftChars="1064" w:firstLine="0" w:firstLineChars="0"/>
        <w:rPr>
          <w:rFonts w:hint="eastAsia" w:ascii="Times New Roman" w:hAnsi="Times New Roman" w:eastAsia="仿宋_GB2312" w:cs="Times New Roman"/>
          <w:sz w:val="32"/>
          <w:szCs w:val="32"/>
          <w:u w:val="single"/>
          <w:lang w:val="en-US" w:eastAsia="zh-CN"/>
        </w:rPr>
      </w:pPr>
      <w:r>
        <w:rPr>
          <w:rFonts w:hint="eastAsia" w:ascii="Times New Roman" w:hAnsi="Times New Roman" w:eastAsia="仿宋_GB2312" w:cs="Times New Roman"/>
          <w:sz w:val="32"/>
          <w:szCs w:val="32"/>
          <w:u w:val="single"/>
          <w:lang w:val="en-US" w:eastAsia="zh-CN"/>
        </w:rPr>
        <w:t>中国人民财产保险股份有限公司麻阳支公司           中华联合财产保险股份有限公司麻阳支公司               中国太平洋财产保险股份有限公司麻阳支公司</w:t>
      </w:r>
    </w:p>
    <w:p>
      <w:pPr>
        <w:adjustRightInd w:val="0"/>
        <w:snapToGrid w:val="0"/>
        <w:spacing w:line="600" w:lineRule="exact"/>
        <w:ind w:firstLine="640" w:firstLineChars="200"/>
        <w:rPr>
          <w:rFonts w:hint="default" w:ascii="Times New Roman" w:hAnsi="Times New Roman" w:eastAsia="仿宋_GB2312"/>
          <w:sz w:val="32"/>
          <w:szCs w:val="32"/>
          <w:lang w:val="en-US" w:eastAsia="zh-CN"/>
        </w:rPr>
      </w:pPr>
      <w:r>
        <w:rPr>
          <w:rFonts w:hint="eastAsia" w:ascii="黑体" w:hAnsi="黑体" w:eastAsia="黑体"/>
          <w:sz w:val="32"/>
          <w:szCs w:val="32"/>
          <w:lang w:val="en-US" w:eastAsia="zh-CN"/>
        </w:rPr>
        <w:t>评价</w:t>
      </w:r>
      <w:r>
        <w:rPr>
          <w:rFonts w:hint="eastAsia" w:ascii="黑体" w:hAnsi="黑体" w:eastAsia="黑体"/>
          <w:sz w:val="32"/>
          <w:szCs w:val="32"/>
        </w:rPr>
        <w:t>实施机构：</w:t>
      </w:r>
      <w:r>
        <w:rPr>
          <w:rFonts w:hint="eastAsia" w:ascii="Times New Roman" w:hAnsi="Times New Roman" w:eastAsia="仿宋_GB2312"/>
          <w:sz w:val="32"/>
          <w:szCs w:val="32"/>
          <w:u w:val="single"/>
        </w:rPr>
        <w:t xml:space="preserve"> 湖南泰信会计师事务所有限公司</w:t>
      </w:r>
      <w:r>
        <w:rPr>
          <w:rFonts w:ascii="Times New Roman" w:hAnsi="Times New Roman" w:eastAsia="仿宋_GB2312"/>
          <w:sz w:val="32"/>
          <w:szCs w:val="32"/>
          <w:u w:val="single"/>
        </w:rPr>
        <w:t xml:space="preserve"> </w:t>
      </w:r>
      <w:r>
        <w:rPr>
          <w:rFonts w:hint="eastAsia" w:ascii="Times New Roman" w:hAnsi="Times New Roman" w:eastAsia="仿宋_GB2312"/>
          <w:sz w:val="32"/>
          <w:szCs w:val="32"/>
          <w:u w:val="single"/>
          <w:lang w:val="en-US" w:eastAsia="zh-CN"/>
        </w:rPr>
        <w:t xml:space="preserve">           </w:t>
      </w:r>
    </w:p>
    <w:p>
      <w:pPr>
        <w:snapToGrid w:val="0"/>
        <w:spacing w:line="560" w:lineRule="exact"/>
        <w:ind w:firstLine="1280" w:firstLineChars="400"/>
        <w:jc w:val="both"/>
        <w:rPr>
          <w:rFonts w:hint="eastAsia" w:eastAsia="仿宋_GB2312"/>
          <w:sz w:val="32"/>
          <w:szCs w:val="32"/>
          <w:lang w:val="en-US" w:eastAsia="zh-CN"/>
        </w:rPr>
      </w:pPr>
    </w:p>
    <w:p>
      <w:pPr>
        <w:snapToGrid w:val="0"/>
        <w:spacing w:line="560" w:lineRule="exact"/>
        <w:ind w:firstLine="1280" w:firstLineChars="400"/>
        <w:jc w:val="both"/>
        <w:rPr>
          <w:rFonts w:hint="eastAsia" w:eastAsia="仿宋_GB2312"/>
          <w:sz w:val="32"/>
          <w:szCs w:val="32"/>
          <w:lang w:val="en-US" w:eastAsia="zh-CN"/>
        </w:rPr>
      </w:pPr>
    </w:p>
    <w:p>
      <w:pPr>
        <w:snapToGrid w:val="0"/>
        <w:spacing w:line="560" w:lineRule="exact"/>
        <w:ind w:firstLine="1280" w:firstLineChars="400"/>
        <w:jc w:val="both"/>
        <w:rPr>
          <w:rFonts w:hint="eastAsia" w:eastAsia="仿宋_GB2312"/>
          <w:sz w:val="32"/>
          <w:szCs w:val="32"/>
          <w:lang w:val="en-US" w:eastAsia="zh-CN"/>
        </w:rPr>
      </w:pPr>
    </w:p>
    <w:p>
      <w:pPr>
        <w:snapToGrid w:val="0"/>
        <w:spacing w:line="560" w:lineRule="exact"/>
        <w:ind w:firstLine="1280" w:firstLineChars="400"/>
        <w:jc w:val="both"/>
        <w:rPr>
          <w:rFonts w:hint="eastAsia" w:eastAsia="仿宋_GB2312"/>
          <w:sz w:val="32"/>
          <w:szCs w:val="32"/>
          <w:lang w:val="en-US" w:eastAsia="zh-CN"/>
        </w:rPr>
      </w:pPr>
    </w:p>
    <w:p>
      <w:pPr>
        <w:snapToGrid w:val="0"/>
        <w:spacing w:line="560" w:lineRule="exact"/>
        <w:ind w:firstLine="1280" w:firstLineChars="400"/>
        <w:jc w:val="both"/>
        <w:rPr>
          <w:rFonts w:hint="eastAsia" w:eastAsia="仿宋_GB2312"/>
          <w:sz w:val="32"/>
          <w:szCs w:val="32"/>
          <w:lang w:val="en-US" w:eastAsia="zh-CN"/>
        </w:rPr>
      </w:pPr>
    </w:p>
    <w:p>
      <w:pPr>
        <w:snapToGrid w:val="0"/>
        <w:spacing w:line="560" w:lineRule="exact"/>
        <w:ind w:firstLine="1280" w:firstLineChars="400"/>
        <w:jc w:val="center"/>
        <w:rPr>
          <w:rFonts w:hint="eastAsia" w:eastAsia="仿宋_GB2312"/>
          <w:sz w:val="32"/>
          <w:szCs w:val="32"/>
          <w:lang w:val="en-US" w:eastAsia="zh-CN"/>
        </w:rPr>
      </w:pPr>
    </w:p>
    <w:p>
      <w:pPr>
        <w:snapToGrid w:val="0"/>
        <w:spacing w:line="560" w:lineRule="exact"/>
        <w:ind w:firstLine="1280" w:firstLineChars="400"/>
        <w:jc w:val="center"/>
        <w:rPr>
          <w:rFonts w:hint="eastAsia" w:eastAsia="仿宋_GB2312"/>
          <w:sz w:val="32"/>
          <w:szCs w:val="32"/>
          <w:lang w:val="en-US" w:eastAsia="zh-CN"/>
        </w:rPr>
      </w:pPr>
    </w:p>
    <w:p>
      <w:pPr>
        <w:snapToGrid w:val="0"/>
        <w:spacing w:line="560" w:lineRule="exact"/>
        <w:jc w:val="center"/>
        <w:rPr>
          <w:b/>
          <w:bCs/>
          <w:color w:val="auto"/>
          <w:lang w:val="zh-CN"/>
        </w:rPr>
        <w:sectPr>
          <w:footerReference r:id="rId7" w:type="first"/>
          <w:footerReference r:id="rId6" w:type="default"/>
          <w:headerReference r:id="rId5" w:type="even"/>
          <w:pgSz w:w="11906" w:h="16838"/>
          <w:pgMar w:top="1701" w:right="1587" w:bottom="1474" w:left="1587" w:header="851" w:footer="992" w:gutter="0"/>
          <w:pgNumType w:fmt="decimal" w:start="1"/>
          <w:cols w:space="720" w:num="1"/>
          <w:titlePg/>
          <w:docGrid w:linePitch="312" w:charSpace="0"/>
        </w:sectPr>
      </w:pPr>
      <w:r>
        <w:rPr>
          <w:rFonts w:hint="eastAsia" w:eastAsia="仿宋_GB2312"/>
          <w:sz w:val="32"/>
          <w:szCs w:val="32"/>
          <w:lang w:val="en-US" w:eastAsia="zh-CN"/>
        </w:rPr>
        <w:t>二○二三年十月二十九日</w:t>
      </w:r>
    </w:p>
    <w:p>
      <w:pPr>
        <w:pStyle w:val="16"/>
        <w:keepNext w:val="0"/>
        <w:keepLines w:val="0"/>
        <w:pageBreakBefore w:val="0"/>
        <w:widowControl/>
        <w:kinsoku w:val="0"/>
        <w:wordWrap/>
        <w:overflowPunct/>
        <w:topLinePunct w:val="0"/>
        <w:autoSpaceDE w:val="0"/>
        <w:autoSpaceDN w:val="0"/>
        <w:bidi w:val="0"/>
        <w:adjustRightInd w:val="0"/>
        <w:snapToGrid w:val="0"/>
        <w:spacing w:line="480" w:lineRule="auto"/>
        <w:ind w:left="0" w:leftChars="0" w:firstLine="0" w:firstLineChars="0"/>
        <w:jc w:val="center"/>
        <w:textAlignment w:val="baseline"/>
        <w:rPr>
          <w:rFonts w:hint="eastAsia" w:ascii="仿宋" w:hAnsi="仿宋" w:eastAsia="仿宋" w:cs="仿宋"/>
          <w:sz w:val="32"/>
          <w:szCs w:val="32"/>
        </w:rPr>
      </w:pPr>
      <w:r>
        <w:rPr>
          <w:rFonts w:hint="eastAsia" w:ascii="仿宋" w:hAnsi="仿宋" w:eastAsia="仿宋" w:cs="仿宋"/>
          <w:sz w:val="32"/>
          <w:szCs w:val="32"/>
          <w:lang w:val="zh-CN"/>
        </w:rPr>
        <w:t>目  录</w:t>
      </w:r>
    </w:p>
    <w:p>
      <w:pPr>
        <w:pStyle w:val="9"/>
        <w:keepNext w:val="0"/>
        <w:keepLines w:val="0"/>
        <w:pageBreakBefore w:val="0"/>
        <w:widowControl/>
        <w:tabs>
          <w:tab w:val="right" w:leader="dot" w:pos="8788"/>
          <w:tab w:val="clear" w:pos="8948"/>
        </w:tabs>
        <w:kinsoku w:val="0"/>
        <w:wordWrap/>
        <w:overflowPunct/>
        <w:topLinePunct w:val="0"/>
        <w:autoSpaceDE w:val="0"/>
        <w:autoSpaceDN w:val="0"/>
        <w:bidi w:val="0"/>
        <w:adjustRightInd w:val="0"/>
        <w:snapToGrid w:val="0"/>
        <w:spacing w:line="480" w:lineRule="auto"/>
        <w:textAlignment w:val="baseline"/>
        <w:rPr>
          <w:rFonts w:hint="eastAsia" w:ascii="仿宋" w:hAnsi="仿宋" w:eastAsia="仿宋" w:cs="仿宋"/>
          <w:sz w:val="24"/>
          <w:szCs w:val="24"/>
        </w:rPr>
      </w:pPr>
      <w:r>
        <w:rPr>
          <w:rFonts w:hint="eastAsia" w:ascii="仿宋" w:hAnsi="仿宋" w:eastAsia="仿宋" w:cs="仿宋"/>
          <w:b w:val="0"/>
          <w:bCs/>
          <w:sz w:val="24"/>
          <w:szCs w:val="24"/>
          <w:lang w:val="zh-CN"/>
        </w:rPr>
        <w:fldChar w:fldCharType="begin"/>
      </w:r>
      <w:r>
        <w:rPr>
          <w:rFonts w:hint="eastAsia" w:ascii="仿宋" w:hAnsi="仿宋" w:eastAsia="仿宋" w:cs="仿宋"/>
          <w:b w:val="0"/>
          <w:bCs/>
          <w:sz w:val="24"/>
          <w:szCs w:val="24"/>
          <w:lang w:val="zh-CN"/>
        </w:rPr>
        <w:instrText xml:space="preserve"> TOC \o "1-3" \h \z \u </w:instrText>
      </w:r>
      <w:r>
        <w:rPr>
          <w:rFonts w:hint="eastAsia" w:ascii="仿宋" w:hAnsi="仿宋" w:eastAsia="仿宋" w:cs="仿宋"/>
          <w:b w:val="0"/>
          <w:bCs/>
          <w:sz w:val="24"/>
          <w:szCs w:val="24"/>
          <w:lang w:val="zh-CN"/>
        </w:rPr>
        <w:fldChar w:fldCharType="separate"/>
      </w:r>
      <w:r>
        <w:rPr>
          <w:rFonts w:hint="eastAsia" w:ascii="仿宋" w:hAnsi="仿宋" w:eastAsia="仿宋" w:cs="仿宋"/>
          <w:bCs/>
          <w:sz w:val="24"/>
          <w:szCs w:val="24"/>
          <w:lang w:val="zh-CN"/>
        </w:rPr>
        <w:fldChar w:fldCharType="begin"/>
      </w:r>
      <w:r>
        <w:rPr>
          <w:rFonts w:hint="eastAsia" w:ascii="仿宋" w:hAnsi="仿宋" w:eastAsia="仿宋" w:cs="仿宋"/>
          <w:bCs/>
          <w:sz w:val="24"/>
          <w:szCs w:val="24"/>
          <w:lang w:val="zh-CN"/>
        </w:rPr>
        <w:instrText xml:space="preserve"> HYPERLINK \l _Toc15916 </w:instrText>
      </w:r>
      <w:r>
        <w:rPr>
          <w:rFonts w:hint="eastAsia" w:ascii="仿宋" w:hAnsi="仿宋" w:eastAsia="仿宋" w:cs="仿宋"/>
          <w:bCs/>
          <w:sz w:val="24"/>
          <w:szCs w:val="24"/>
          <w:lang w:val="zh-CN"/>
        </w:rPr>
        <w:fldChar w:fldCharType="separate"/>
      </w:r>
      <w:r>
        <w:rPr>
          <w:rFonts w:hint="eastAsia" w:ascii="仿宋" w:hAnsi="仿宋" w:eastAsia="仿宋" w:cs="仿宋"/>
          <w:bCs/>
          <w:snapToGrid/>
          <w:sz w:val="24"/>
          <w:szCs w:val="24"/>
          <w:lang w:val="en-US" w:eastAsia="zh-CN" w:bidi="ar-SA"/>
        </w:rPr>
        <w:t>一、项目基本情况</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_Toc15916 \h </w:instrText>
      </w:r>
      <w:r>
        <w:rPr>
          <w:rFonts w:hint="eastAsia" w:ascii="仿宋" w:hAnsi="仿宋" w:eastAsia="仿宋" w:cs="仿宋"/>
          <w:sz w:val="24"/>
          <w:szCs w:val="24"/>
        </w:rPr>
        <w:fldChar w:fldCharType="separate"/>
      </w:r>
      <w:r>
        <w:rPr>
          <w:rFonts w:hint="eastAsia" w:ascii="仿宋" w:hAnsi="仿宋" w:eastAsia="仿宋" w:cs="仿宋"/>
          <w:sz w:val="24"/>
          <w:szCs w:val="24"/>
        </w:rPr>
        <w:t>1</w:t>
      </w:r>
      <w:r>
        <w:rPr>
          <w:rFonts w:hint="eastAsia" w:ascii="仿宋" w:hAnsi="仿宋" w:eastAsia="仿宋" w:cs="仿宋"/>
          <w:sz w:val="24"/>
          <w:szCs w:val="24"/>
        </w:rPr>
        <w:fldChar w:fldCharType="end"/>
      </w:r>
      <w:r>
        <w:rPr>
          <w:rFonts w:hint="eastAsia" w:ascii="仿宋" w:hAnsi="仿宋" w:eastAsia="仿宋" w:cs="仿宋"/>
          <w:bCs/>
          <w:sz w:val="24"/>
          <w:szCs w:val="24"/>
          <w:lang w:val="zh-CN"/>
        </w:rPr>
        <w:fldChar w:fldCharType="end"/>
      </w:r>
    </w:p>
    <w:p>
      <w:pPr>
        <w:pStyle w:val="10"/>
        <w:keepNext w:val="0"/>
        <w:keepLines w:val="0"/>
        <w:pageBreakBefore w:val="0"/>
        <w:widowControl/>
        <w:tabs>
          <w:tab w:val="right" w:leader="dot" w:pos="8788"/>
          <w:tab w:val="clear" w:pos="8948"/>
        </w:tabs>
        <w:kinsoku w:val="0"/>
        <w:wordWrap/>
        <w:overflowPunct/>
        <w:topLinePunct w:val="0"/>
        <w:autoSpaceDE w:val="0"/>
        <w:autoSpaceDN w:val="0"/>
        <w:bidi w:val="0"/>
        <w:adjustRightInd w:val="0"/>
        <w:snapToGrid w:val="0"/>
        <w:spacing w:line="480" w:lineRule="auto"/>
        <w:textAlignment w:val="baseline"/>
        <w:rPr>
          <w:rFonts w:hint="eastAsia" w:ascii="仿宋" w:hAnsi="仿宋" w:eastAsia="仿宋" w:cs="仿宋"/>
          <w:sz w:val="24"/>
          <w:szCs w:val="24"/>
        </w:rPr>
      </w:pPr>
      <w:r>
        <w:rPr>
          <w:rFonts w:hint="eastAsia" w:ascii="仿宋" w:hAnsi="仿宋" w:eastAsia="仿宋" w:cs="仿宋"/>
          <w:bCs/>
          <w:sz w:val="24"/>
          <w:szCs w:val="24"/>
          <w:lang w:val="zh-CN"/>
        </w:rPr>
        <w:fldChar w:fldCharType="begin"/>
      </w:r>
      <w:r>
        <w:rPr>
          <w:rFonts w:hint="eastAsia" w:ascii="仿宋" w:hAnsi="仿宋" w:eastAsia="仿宋" w:cs="仿宋"/>
          <w:bCs/>
          <w:sz w:val="24"/>
          <w:szCs w:val="24"/>
          <w:lang w:val="zh-CN"/>
        </w:rPr>
        <w:instrText xml:space="preserve"> HYPERLINK \l _Toc20893 </w:instrText>
      </w:r>
      <w:r>
        <w:rPr>
          <w:rFonts w:hint="eastAsia" w:ascii="仿宋" w:hAnsi="仿宋" w:eastAsia="仿宋" w:cs="仿宋"/>
          <w:bCs/>
          <w:sz w:val="24"/>
          <w:szCs w:val="24"/>
          <w:lang w:val="zh-CN"/>
        </w:rPr>
        <w:fldChar w:fldCharType="separate"/>
      </w:r>
      <w:r>
        <w:rPr>
          <w:rFonts w:hint="eastAsia" w:ascii="仿宋" w:hAnsi="仿宋" w:eastAsia="仿宋" w:cs="仿宋"/>
          <w:bCs/>
          <w:snapToGrid/>
          <w:kern w:val="2"/>
          <w:sz w:val="24"/>
          <w:szCs w:val="24"/>
          <w:lang w:val="en-US" w:eastAsia="zh-CN" w:bidi="ar-SA"/>
        </w:rPr>
        <w:t>（一） 项目概况</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_Toc20893 \h </w:instrText>
      </w:r>
      <w:r>
        <w:rPr>
          <w:rFonts w:hint="eastAsia" w:ascii="仿宋" w:hAnsi="仿宋" w:eastAsia="仿宋" w:cs="仿宋"/>
          <w:sz w:val="24"/>
          <w:szCs w:val="24"/>
        </w:rPr>
        <w:fldChar w:fldCharType="separate"/>
      </w:r>
      <w:r>
        <w:rPr>
          <w:rFonts w:hint="eastAsia" w:ascii="仿宋" w:hAnsi="仿宋" w:eastAsia="仿宋" w:cs="仿宋"/>
          <w:sz w:val="24"/>
          <w:szCs w:val="24"/>
        </w:rPr>
        <w:t>1</w:t>
      </w:r>
      <w:r>
        <w:rPr>
          <w:rFonts w:hint="eastAsia" w:ascii="仿宋" w:hAnsi="仿宋" w:eastAsia="仿宋" w:cs="仿宋"/>
          <w:sz w:val="24"/>
          <w:szCs w:val="24"/>
        </w:rPr>
        <w:fldChar w:fldCharType="end"/>
      </w:r>
      <w:r>
        <w:rPr>
          <w:rFonts w:hint="eastAsia" w:ascii="仿宋" w:hAnsi="仿宋" w:eastAsia="仿宋" w:cs="仿宋"/>
          <w:bCs/>
          <w:sz w:val="24"/>
          <w:szCs w:val="24"/>
          <w:lang w:val="zh-CN"/>
        </w:rPr>
        <w:fldChar w:fldCharType="end"/>
      </w:r>
    </w:p>
    <w:p>
      <w:pPr>
        <w:pStyle w:val="10"/>
        <w:keepNext w:val="0"/>
        <w:keepLines w:val="0"/>
        <w:pageBreakBefore w:val="0"/>
        <w:widowControl/>
        <w:tabs>
          <w:tab w:val="right" w:leader="dot" w:pos="8788"/>
          <w:tab w:val="clear" w:pos="8948"/>
        </w:tabs>
        <w:kinsoku w:val="0"/>
        <w:wordWrap/>
        <w:overflowPunct/>
        <w:topLinePunct w:val="0"/>
        <w:autoSpaceDE w:val="0"/>
        <w:autoSpaceDN w:val="0"/>
        <w:bidi w:val="0"/>
        <w:adjustRightInd w:val="0"/>
        <w:snapToGrid w:val="0"/>
        <w:spacing w:line="480" w:lineRule="auto"/>
        <w:textAlignment w:val="baseline"/>
        <w:rPr>
          <w:rFonts w:hint="eastAsia" w:ascii="仿宋" w:hAnsi="仿宋" w:eastAsia="仿宋" w:cs="仿宋"/>
          <w:sz w:val="24"/>
          <w:szCs w:val="24"/>
        </w:rPr>
      </w:pPr>
      <w:r>
        <w:rPr>
          <w:rFonts w:hint="eastAsia" w:ascii="仿宋" w:hAnsi="仿宋" w:eastAsia="仿宋" w:cs="仿宋"/>
          <w:bCs/>
          <w:sz w:val="24"/>
          <w:szCs w:val="24"/>
          <w:lang w:val="zh-CN"/>
        </w:rPr>
        <w:fldChar w:fldCharType="begin"/>
      </w:r>
      <w:r>
        <w:rPr>
          <w:rFonts w:hint="eastAsia" w:ascii="仿宋" w:hAnsi="仿宋" w:eastAsia="仿宋" w:cs="仿宋"/>
          <w:bCs/>
          <w:sz w:val="24"/>
          <w:szCs w:val="24"/>
          <w:lang w:val="zh-CN"/>
        </w:rPr>
        <w:instrText xml:space="preserve"> HYPERLINK \l _Toc32159 </w:instrText>
      </w:r>
      <w:r>
        <w:rPr>
          <w:rFonts w:hint="eastAsia" w:ascii="仿宋" w:hAnsi="仿宋" w:eastAsia="仿宋" w:cs="仿宋"/>
          <w:bCs/>
          <w:sz w:val="24"/>
          <w:szCs w:val="24"/>
          <w:lang w:val="zh-CN"/>
        </w:rPr>
        <w:fldChar w:fldCharType="separate"/>
      </w:r>
      <w:r>
        <w:rPr>
          <w:rFonts w:hint="eastAsia" w:ascii="仿宋" w:hAnsi="仿宋" w:eastAsia="仿宋" w:cs="仿宋"/>
          <w:bCs/>
          <w:snapToGrid/>
          <w:kern w:val="2"/>
          <w:sz w:val="24"/>
          <w:szCs w:val="24"/>
          <w:lang w:val="en-US" w:eastAsia="zh-CN" w:bidi="ar-SA"/>
        </w:rPr>
        <w:t>（二）项目资金的基本情况</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_Toc32159 \h </w:instrText>
      </w:r>
      <w:r>
        <w:rPr>
          <w:rFonts w:hint="eastAsia" w:ascii="仿宋" w:hAnsi="仿宋" w:eastAsia="仿宋" w:cs="仿宋"/>
          <w:sz w:val="24"/>
          <w:szCs w:val="24"/>
        </w:rPr>
        <w:fldChar w:fldCharType="separate"/>
      </w:r>
      <w:r>
        <w:rPr>
          <w:rFonts w:hint="eastAsia" w:ascii="仿宋" w:hAnsi="仿宋" w:eastAsia="仿宋" w:cs="仿宋"/>
          <w:sz w:val="24"/>
          <w:szCs w:val="24"/>
        </w:rPr>
        <w:t>2</w:t>
      </w:r>
      <w:r>
        <w:rPr>
          <w:rFonts w:hint="eastAsia" w:ascii="仿宋" w:hAnsi="仿宋" w:eastAsia="仿宋" w:cs="仿宋"/>
          <w:sz w:val="24"/>
          <w:szCs w:val="24"/>
        </w:rPr>
        <w:fldChar w:fldCharType="end"/>
      </w:r>
      <w:r>
        <w:rPr>
          <w:rFonts w:hint="eastAsia" w:ascii="仿宋" w:hAnsi="仿宋" w:eastAsia="仿宋" w:cs="仿宋"/>
          <w:bCs/>
          <w:sz w:val="24"/>
          <w:szCs w:val="24"/>
          <w:lang w:val="zh-CN"/>
        </w:rPr>
        <w:fldChar w:fldCharType="end"/>
      </w:r>
    </w:p>
    <w:p>
      <w:pPr>
        <w:pStyle w:val="10"/>
        <w:keepNext w:val="0"/>
        <w:keepLines w:val="0"/>
        <w:pageBreakBefore w:val="0"/>
        <w:widowControl/>
        <w:tabs>
          <w:tab w:val="right" w:leader="dot" w:pos="8788"/>
          <w:tab w:val="clear" w:pos="8948"/>
        </w:tabs>
        <w:kinsoku w:val="0"/>
        <w:wordWrap/>
        <w:overflowPunct/>
        <w:topLinePunct w:val="0"/>
        <w:autoSpaceDE w:val="0"/>
        <w:autoSpaceDN w:val="0"/>
        <w:bidi w:val="0"/>
        <w:adjustRightInd w:val="0"/>
        <w:snapToGrid w:val="0"/>
        <w:spacing w:line="480" w:lineRule="auto"/>
        <w:textAlignment w:val="baseline"/>
        <w:rPr>
          <w:rFonts w:hint="eastAsia" w:ascii="仿宋" w:hAnsi="仿宋" w:eastAsia="仿宋" w:cs="仿宋"/>
          <w:sz w:val="24"/>
          <w:szCs w:val="24"/>
        </w:rPr>
      </w:pPr>
      <w:r>
        <w:rPr>
          <w:rFonts w:hint="eastAsia" w:ascii="仿宋" w:hAnsi="仿宋" w:eastAsia="仿宋" w:cs="仿宋"/>
          <w:bCs/>
          <w:sz w:val="24"/>
          <w:szCs w:val="24"/>
          <w:lang w:val="zh-CN"/>
        </w:rPr>
        <w:fldChar w:fldCharType="begin"/>
      </w:r>
      <w:r>
        <w:rPr>
          <w:rFonts w:hint="eastAsia" w:ascii="仿宋" w:hAnsi="仿宋" w:eastAsia="仿宋" w:cs="仿宋"/>
          <w:bCs/>
          <w:sz w:val="24"/>
          <w:szCs w:val="24"/>
          <w:lang w:val="zh-CN"/>
        </w:rPr>
        <w:instrText xml:space="preserve"> HYPERLINK \l _Toc4487 </w:instrText>
      </w:r>
      <w:r>
        <w:rPr>
          <w:rFonts w:hint="eastAsia" w:ascii="仿宋" w:hAnsi="仿宋" w:eastAsia="仿宋" w:cs="仿宋"/>
          <w:bCs/>
          <w:sz w:val="24"/>
          <w:szCs w:val="24"/>
          <w:lang w:val="zh-CN"/>
        </w:rPr>
        <w:fldChar w:fldCharType="separate"/>
      </w:r>
      <w:r>
        <w:rPr>
          <w:rFonts w:hint="eastAsia" w:ascii="仿宋" w:hAnsi="仿宋" w:eastAsia="仿宋" w:cs="仿宋"/>
          <w:bCs/>
          <w:snapToGrid/>
          <w:kern w:val="2"/>
          <w:sz w:val="24"/>
          <w:szCs w:val="24"/>
          <w:lang w:val="en-US" w:eastAsia="zh-CN" w:bidi="ar-SA"/>
        </w:rPr>
        <w:t>（三） 项目绩效目标和绩效指标</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_Toc4487 \h </w:instrText>
      </w:r>
      <w:r>
        <w:rPr>
          <w:rFonts w:hint="eastAsia" w:ascii="仿宋" w:hAnsi="仿宋" w:eastAsia="仿宋" w:cs="仿宋"/>
          <w:sz w:val="24"/>
          <w:szCs w:val="24"/>
        </w:rPr>
        <w:fldChar w:fldCharType="separate"/>
      </w:r>
      <w:r>
        <w:rPr>
          <w:rFonts w:hint="eastAsia" w:ascii="仿宋" w:hAnsi="仿宋" w:eastAsia="仿宋" w:cs="仿宋"/>
          <w:sz w:val="24"/>
          <w:szCs w:val="24"/>
        </w:rPr>
        <w:t>5</w:t>
      </w:r>
      <w:r>
        <w:rPr>
          <w:rFonts w:hint="eastAsia" w:ascii="仿宋" w:hAnsi="仿宋" w:eastAsia="仿宋" w:cs="仿宋"/>
          <w:sz w:val="24"/>
          <w:szCs w:val="24"/>
        </w:rPr>
        <w:fldChar w:fldCharType="end"/>
      </w:r>
      <w:r>
        <w:rPr>
          <w:rFonts w:hint="eastAsia" w:ascii="仿宋" w:hAnsi="仿宋" w:eastAsia="仿宋" w:cs="仿宋"/>
          <w:bCs/>
          <w:sz w:val="24"/>
          <w:szCs w:val="24"/>
          <w:lang w:val="zh-CN"/>
        </w:rPr>
        <w:fldChar w:fldCharType="end"/>
      </w:r>
    </w:p>
    <w:p>
      <w:pPr>
        <w:pStyle w:val="9"/>
        <w:keepNext w:val="0"/>
        <w:keepLines w:val="0"/>
        <w:pageBreakBefore w:val="0"/>
        <w:widowControl/>
        <w:tabs>
          <w:tab w:val="right" w:leader="dot" w:pos="8788"/>
          <w:tab w:val="clear" w:pos="8948"/>
        </w:tabs>
        <w:kinsoku w:val="0"/>
        <w:wordWrap/>
        <w:overflowPunct/>
        <w:topLinePunct w:val="0"/>
        <w:autoSpaceDE w:val="0"/>
        <w:autoSpaceDN w:val="0"/>
        <w:bidi w:val="0"/>
        <w:adjustRightInd w:val="0"/>
        <w:snapToGrid w:val="0"/>
        <w:spacing w:line="480" w:lineRule="auto"/>
        <w:textAlignment w:val="baseline"/>
        <w:rPr>
          <w:rFonts w:hint="eastAsia" w:ascii="仿宋" w:hAnsi="仿宋" w:eastAsia="仿宋" w:cs="仿宋"/>
          <w:sz w:val="24"/>
          <w:szCs w:val="24"/>
        </w:rPr>
      </w:pPr>
      <w:r>
        <w:rPr>
          <w:rFonts w:hint="eastAsia" w:ascii="仿宋" w:hAnsi="仿宋" w:eastAsia="仿宋" w:cs="仿宋"/>
          <w:bCs/>
          <w:sz w:val="24"/>
          <w:szCs w:val="24"/>
          <w:lang w:val="zh-CN"/>
        </w:rPr>
        <w:fldChar w:fldCharType="begin"/>
      </w:r>
      <w:r>
        <w:rPr>
          <w:rFonts w:hint="eastAsia" w:ascii="仿宋" w:hAnsi="仿宋" w:eastAsia="仿宋" w:cs="仿宋"/>
          <w:bCs/>
          <w:sz w:val="24"/>
          <w:szCs w:val="24"/>
          <w:lang w:val="zh-CN"/>
        </w:rPr>
        <w:instrText xml:space="preserve"> HYPERLINK \l _Toc27958 </w:instrText>
      </w:r>
      <w:r>
        <w:rPr>
          <w:rFonts w:hint="eastAsia" w:ascii="仿宋" w:hAnsi="仿宋" w:eastAsia="仿宋" w:cs="仿宋"/>
          <w:bCs/>
          <w:sz w:val="24"/>
          <w:szCs w:val="24"/>
          <w:lang w:val="zh-CN"/>
        </w:rPr>
        <w:fldChar w:fldCharType="separate"/>
      </w:r>
      <w:r>
        <w:rPr>
          <w:rFonts w:hint="eastAsia" w:ascii="仿宋" w:hAnsi="仿宋" w:eastAsia="仿宋" w:cs="仿宋"/>
          <w:bCs/>
          <w:snapToGrid/>
          <w:sz w:val="24"/>
          <w:szCs w:val="24"/>
          <w:lang w:val="en-US" w:eastAsia="zh-CN" w:bidi="ar-SA"/>
        </w:rPr>
        <w:t>二、绩效评价工作情况</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_Toc27958 \h </w:instrText>
      </w:r>
      <w:r>
        <w:rPr>
          <w:rFonts w:hint="eastAsia" w:ascii="仿宋" w:hAnsi="仿宋" w:eastAsia="仿宋" w:cs="仿宋"/>
          <w:sz w:val="24"/>
          <w:szCs w:val="24"/>
        </w:rPr>
        <w:fldChar w:fldCharType="separate"/>
      </w:r>
      <w:r>
        <w:rPr>
          <w:rFonts w:hint="eastAsia" w:ascii="仿宋" w:hAnsi="仿宋" w:eastAsia="仿宋" w:cs="仿宋"/>
          <w:sz w:val="24"/>
          <w:szCs w:val="24"/>
        </w:rPr>
        <w:t>6</w:t>
      </w:r>
      <w:r>
        <w:rPr>
          <w:rFonts w:hint="eastAsia" w:ascii="仿宋" w:hAnsi="仿宋" w:eastAsia="仿宋" w:cs="仿宋"/>
          <w:sz w:val="24"/>
          <w:szCs w:val="24"/>
        </w:rPr>
        <w:fldChar w:fldCharType="end"/>
      </w:r>
      <w:r>
        <w:rPr>
          <w:rFonts w:hint="eastAsia" w:ascii="仿宋" w:hAnsi="仿宋" w:eastAsia="仿宋" w:cs="仿宋"/>
          <w:bCs/>
          <w:sz w:val="24"/>
          <w:szCs w:val="24"/>
          <w:lang w:val="zh-CN"/>
        </w:rPr>
        <w:fldChar w:fldCharType="end"/>
      </w:r>
    </w:p>
    <w:p>
      <w:pPr>
        <w:pStyle w:val="10"/>
        <w:keepNext w:val="0"/>
        <w:keepLines w:val="0"/>
        <w:pageBreakBefore w:val="0"/>
        <w:widowControl/>
        <w:tabs>
          <w:tab w:val="right" w:leader="dot" w:pos="8788"/>
          <w:tab w:val="clear" w:pos="8948"/>
        </w:tabs>
        <w:kinsoku w:val="0"/>
        <w:wordWrap/>
        <w:overflowPunct/>
        <w:topLinePunct w:val="0"/>
        <w:autoSpaceDE w:val="0"/>
        <w:autoSpaceDN w:val="0"/>
        <w:bidi w:val="0"/>
        <w:adjustRightInd w:val="0"/>
        <w:snapToGrid w:val="0"/>
        <w:spacing w:line="480" w:lineRule="auto"/>
        <w:textAlignment w:val="baseline"/>
        <w:rPr>
          <w:rFonts w:hint="eastAsia" w:ascii="仿宋" w:hAnsi="仿宋" w:eastAsia="仿宋" w:cs="仿宋"/>
          <w:sz w:val="24"/>
          <w:szCs w:val="24"/>
        </w:rPr>
      </w:pPr>
      <w:r>
        <w:rPr>
          <w:rFonts w:hint="eastAsia" w:ascii="仿宋" w:hAnsi="仿宋" w:eastAsia="仿宋" w:cs="仿宋"/>
          <w:bCs/>
          <w:sz w:val="24"/>
          <w:szCs w:val="24"/>
          <w:lang w:val="zh-CN"/>
        </w:rPr>
        <w:fldChar w:fldCharType="begin"/>
      </w:r>
      <w:r>
        <w:rPr>
          <w:rFonts w:hint="eastAsia" w:ascii="仿宋" w:hAnsi="仿宋" w:eastAsia="仿宋" w:cs="仿宋"/>
          <w:bCs/>
          <w:sz w:val="24"/>
          <w:szCs w:val="24"/>
          <w:lang w:val="zh-CN"/>
        </w:rPr>
        <w:instrText xml:space="preserve"> HYPERLINK \l _Toc13927 </w:instrText>
      </w:r>
      <w:r>
        <w:rPr>
          <w:rFonts w:hint="eastAsia" w:ascii="仿宋" w:hAnsi="仿宋" w:eastAsia="仿宋" w:cs="仿宋"/>
          <w:bCs/>
          <w:sz w:val="24"/>
          <w:szCs w:val="24"/>
          <w:lang w:val="zh-CN"/>
        </w:rPr>
        <w:fldChar w:fldCharType="separate"/>
      </w:r>
      <w:r>
        <w:rPr>
          <w:rFonts w:hint="eastAsia" w:ascii="仿宋" w:hAnsi="仿宋" w:eastAsia="仿宋" w:cs="仿宋"/>
          <w:bCs/>
          <w:snapToGrid/>
          <w:kern w:val="2"/>
          <w:sz w:val="24"/>
          <w:szCs w:val="24"/>
          <w:lang w:val="en-US" w:eastAsia="zh-CN" w:bidi="ar-SA"/>
        </w:rPr>
        <w:t>（一）绩效评价目的</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_Toc13927 \h </w:instrText>
      </w:r>
      <w:r>
        <w:rPr>
          <w:rFonts w:hint="eastAsia" w:ascii="仿宋" w:hAnsi="仿宋" w:eastAsia="仿宋" w:cs="仿宋"/>
          <w:sz w:val="24"/>
          <w:szCs w:val="24"/>
        </w:rPr>
        <w:fldChar w:fldCharType="separate"/>
      </w:r>
      <w:r>
        <w:rPr>
          <w:rFonts w:hint="eastAsia" w:ascii="仿宋" w:hAnsi="仿宋" w:eastAsia="仿宋" w:cs="仿宋"/>
          <w:sz w:val="24"/>
          <w:szCs w:val="24"/>
        </w:rPr>
        <w:t>6</w:t>
      </w:r>
      <w:r>
        <w:rPr>
          <w:rFonts w:hint="eastAsia" w:ascii="仿宋" w:hAnsi="仿宋" w:eastAsia="仿宋" w:cs="仿宋"/>
          <w:sz w:val="24"/>
          <w:szCs w:val="24"/>
        </w:rPr>
        <w:fldChar w:fldCharType="end"/>
      </w:r>
      <w:r>
        <w:rPr>
          <w:rFonts w:hint="eastAsia" w:ascii="仿宋" w:hAnsi="仿宋" w:eastAsia="仿宋" w:cs="仿宋"/>
          <w:bCs/>
          <w:sz w:val="24"/>
          <w:szCs w:val="24"/>
          <w:lang w:val="zh-CN"/>
        </w:rPr>
        <w:fldChar w:fldCharType="end"/>
      </w:r>
    </w:p>
    <w:p>
      <w:pPr>
        <w:pStyle w:val="10"/>
        <w:keepNext w:val="0"/>
        <w:keepLines w:val="0"/>
        <w:pageBreakBefore w:val="0"/>
        <w:widowControl/>
        <w:tabs>
          <w:tab w:val="right" w:leader="dot" w:pos="8788"/>
          <w:tab w:val="clear" w:pos="8948"/>
        </w:tabs>
        <w:kinsoku w:val="0"/>
        <w:wordWrap/>
        <w:overflowPunct/>
        <w:topLinePunct w:val="0"/>
        <w:autoSpaceDE w:val="0"/>
        <w:autoSpaceDN w:val="0"/>
        <w:bidi w:val="0"/>
        <w:adjustRightInd w:val="0"/>
        <w:snapToGrid w:val="0"/>
        <w:spacing w:line="480" w:lineRule="auto"/>
        <w:textAlignment w:val="baseline"/>
        <w:rPr>
          <w:rFonts w:hint="eastAsia" w:ascii="仿宋" w:hAnsi="仿宋" w:eastAsia="仿宋" w:cs="仿宋"/>
          <w:sz w:val="24"/>
          <w:szCs w:val="24"/>
        </w:rPr>
      </w:pPr>
      <w:r>
        <w:rPr>
          <w:rFonts w:hint="eastAsia" w:ascii="仿宋" w:hAnsi="仿宋" w:eastAsia="仿宋" w:cs="仿宋"/>
          <w:bCs/>
          <w:sz w:val="24"/>
          <w:szCs w:val="24"/>
          <w:lang w:val="zh-CN"/>
        </w:rPr>
        <w:fldChar w:fldCharType="begin"/>
      </w:r>
      <w:r>
        <w:rPr>
          <w:rFonts w:hint="eastAsia" w:ascii="仿宋" w:hAnsi="仿宋" w:eastAsia="仿宋" w:cs="仿宋"/>
          <w:bCs/>
          <w:sz w:val="24"/>
          <w:szCs w:val="24"/>
          <w:lang w:val="zh-CN"/>
        </w:rPr>
        <w:instrText xml:space="preserve"> HYPERLINK \l _Toc7882 </w:instrText>
      </w:r>
      <w:r>
        <w:rPr>
          <w:rFonts w:hint="eastAsia" w:ascii="仿宋" w:hAnsi="仿宋" w:eastAsia="仿宋" w:cs="仿宋"/>
          <w:bCs/>
          <w:sz w:val="24"/>
          <w:szCs w:val="24"/>
          <w:lang w:val="zh-CN"/>
        </w:rPr>
        <w:fldChar w:fldCharType="separate"/>
      </w:r>
      <w:r>
        <w:rPr>
          <w:rFonts w:hint="eastAsia" w:ascii="仿宋" w:hAnsi="仿宋" w:eastAsia="仿宋" w:cs="仿宋"/>
          <w:bCs/>
          <w:snapToGrid/>
          <w:kern w:val="2"/>
          <w:sz w:val="24"/>
          <w:szCs w:val="24"/>
          <w:lang w:val="en-US" w:eastAsia="zh-CN" w:bidi="ar-SA"/>
        </w:rPr>
        <w:t>（二） 绩效评价工作内容</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_Toc7882 \h </w:instrText>
      </w:r>
      <w:r>
        <w:rPr>
          <w:rFonts w:hint="eastAsia" w:ascii="仿宋" w:hAnsi="仿宋" w:eastAsia="仿宋" w:cs="仿宋"/>
          <w:sz w:val="24"/>
          <w:szCs w:val="24"/>
        </w:rPr>
        <w:fldChar w:fldCharType="separate"/>
      </w:r>
      <w:r>
        <w:rPr>
          <w:rFonts w:hint="eastAsia" w:ascii="仿宋" w:hAnsi="仿宋" w:eastAsia="仿宋" w:cs="仿宋"/>
          <w:sz w:val="24"/>
          <w:szCs w:val="24"/>
        </w:rPr>
        <w:t>6</w:t>
      </w:r>
      <w:r>
        <w:rPr>
          <w:rFonts w:hint="eastAsia" w:ascii="仿宋" w:hAnsi="仿宋" w:eastAsia="仿宋" w:cs="仿宋"/>
          <w:sz w:val="24"/>
          <w:szCs w:val="24"/>
        </w:rPr>
        <w:fldChar w:fldCharType="end"/>
      </w:r>
      <w:r>
        <w:rPr>
          <w:rFonts w:hint="eastAsia" w:ascii="仿宋" w:hAnsi="仿宋" w:eastAsia="仿宋" w:cs="仿宋"/>
          <w:bCs/>
          <w:sz w:val="24"/>
          <w:szCs w:val="24"/>
          <w:lang w:val="zh-CN"/>
        </w:rPr>
        <w:fldChar w:fldCharType="end"/>
      </w:r>
    </w:p>
    <w:p>
      <w:pPr>
        <w:pStyle w:val="10"/>
        <w:keepNext w:val="0"/>
        <w:keepLines w:val="0"/>
        <w:pageBreakBefore w:val="0"/>
        <w:widowControl/>
        <w:tabs>
          <w:tab w:val="right" w:leader="dot" w:pos="8788"/>
          <w:tab w:val="clear" w:pos="8948"/>
        </w:tabs>
        <w:kinsoku w:val="0"/>
        <w:wordWrap/>
        <w:overflowPunct/>
        <w:topLinePunct w:val="0"/>
        <w:autoSpaceDE w:val="0"/>
        <w:autoSpaceDN w:val="0"/>
        <w:bidi w:val="0"/>
        <w:adjustRightInd w:val="0"/>
        <w:snapToGrid w:val="0"/>
        <w:spacing w:line="480" w:lineRule="auto"/>
        <w:textAlignment w:val="baseline"/>
        <w:rPr>
          <w:rFonts w:hint="eastAsia" w:ascii="仿宋" w:hAnsi="仿宋" w:eastAsia="仿宋" w:cs="仿宋"/>
          <w:sz w:val="24"/>
          <w:szCs w:val="24"/>
        </w:rPr>
      </w:pPr>
      <w:r>
        <w:rPr>
          <w:rFonts w:hint="eastAsia" w:ascii="仿宋" w:hAnsi="仿宋" w:eastAsia="仿宋" w:cs="仿宋"/>
          <w:bCs/>
          <w:sz w:val="24"/>
          <w:szCs w:val="24"/>
          <w:lang w:val="zh-CN"/>
        </w:rPr>
        <w:fldChar w:fldCharType="begin"/>
      </w:r>
      <w:r>
        <w:rPr>
          <w:rFonts w:hint="eastAsia" w:ascii="仿宋" w:hAnsi="仿宋" w:eastAsia="仿宋" w:cs="仿宋"/>
          <w:bCs/>
          <w:sz w:val="24"/>
          <w:szCs w:val="24"/>
          <w:lang w:val="zh-CN"/>
        </w:rPr>
        <w:instrText xml:space="preserve"> HYPERLINK \l _Toc20403 </w:instrText>
      </w:r>
      <w:r>
        <w:rPr>
          <w:rFonts w:hint="eastAsia" w:ascii="仿宋" w:hAnsi="仿宋" w:eastAsia="仿宋" w:cs="仿宋"/>
          <w:bCs/>
          <w:sz w:val="24"/>
          <w:szCs w:val="24"/>
          <w:lang w:val="zh-CN"/>
        </w:rPr>
        <w:fldChar w:fldCharType="separate"/>
      </w:r>
      <w:r>
        <w:rPr>
          <w:rFonts w:hint="eastAsia" w:ascii="仿宋" w:hAnsi="仿宋" w:eastAsia="仿宋" w:cs="仿宋"/>
          <w:bCs/>
          <w:snapToGrid/>
          <w:kern w:val="2"/>
          <w:sz w:val="24"/>
          <w:szCs w:val="24"/>
          <w:lang w:val="en-US" w:eastAsia="zh-CN" w:bidi="ar-SA"/>
        </w:rPr>
        <w:t>（三） 绩效评价框架</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_Toc20403 \h </w:instrText>
      </w:r>
      <w:r>
        <w:rPr>
          <w:rFonts w:hint="eastAsia" w:ascii="仿宋" w:hAnsi="仿宋" w:eastAsia="仿宋" w:cs="仿宋"/>
          <w:sz w:val="24"/>
          <w:szCs w:val="24"/>
        </w:rPr>
        <w:fldChar w:fldCharType="separate"/>
      </w:r>
      <w:r>
        <w:rPr>
          <w:rFonts w:hint="eastAsia" w:ascii="仿宋" w:hAnsi="仿宋" w:eastAsia="仿宋" w:cs="仿宋"/>
          <w:sz w:val="24"/>
          <w:szCs w:val="24"/>
        </w:rPr>
        <w:t>7</w:t>
      </w:r>
      <w:r>
        <w:rPr>
          <w:rFonts w:hint="eastAsia" w:ascii="仿宋" w:hAnsi="仿宋" w:eastAsia="仿宋" w:cs="仿宋"/>
          <w:sz w:val="24"/>
          <w:szCs w:val="24"/>
        </w:rPr>
        <w:fldChar w:fldCharType="end"/>
      </w:r>
      <w:r>
        <w:rPr>
          <w:rFonts w:hint="eastAsia" w:ascii="仿宋" w:hAnsi="仿宋" w:eastAsia="仿宋" w:cs="仿宋"/>
          <w:bCs/>
          <w:sz w:val="24"/>
          <w:szCs w:val="24"/>
          <w:lang w:val="zh-CN"/>
        </w:rPr>
        <w:fldChar w:fldCharType="end"/>
      </w:r>
    </w:p>
    <w:p>
      <w:pPr>
        <w:pStyle w:val="10"/>
        <w:keepNext w:val="0"/>
        <w:keepLines w:val="0"/>
        <w:pageBreakBefore w:val="0"/>
        <w:widowControl/>
        <w:tabs>
          <w:tab w:val="right" w:leader="dot" w:pos="8788"/>
          <w:tab w:val="clear" w:pos="8948"/>
        </w:tabs>
        <w:kinsoku w:val="0"/>
        <w:wordWrap/>
        <w:overflowPunct/>
        <w:topLinePunct w:val="0"/>
        <w:autoSpaceDE w:val="0"/>
        <w:autoSpaceDN w:val="0"/>
        <w:bidi w:val="0"/>
        <w:adjustRightInd w:val="0"/>
        <w:snapToGrid w:val="0"/>
        <w:spacing w:line="480" w:lineRule="auto"/>
        <w:textAlignment w:val="baseline"/>
        <w:rPr>
          <w:rFonts w:hint="eastAsia" w:ascii="仿宋" w:hAnsi="仿宋" w:eastAsia="仿宋" w:cs="仿宋"/>
          <w:sz w:val="24"/>
          <w:szCs w:val="24"/>
        </w:rPr>
      </w:pPr>
      <w:r>
        <w:rPr>
          <w:rFonts w:hint="eastAsia" w:ascii="仿宋" w:hAnsi="仿宋" w:eastAsia="仿宋" w:cs="仿宋"/>
          <w:bCs/>
          <w:sz w:val="24"/>
          <w:szCs w:val="24"/>
          <w:lang w:val="zh-CN"/>
        </w:rPr>
        <w:fldChar w:fldCharType="begin"/>
      </w:r>
      <w:r>
        <w:rPr>
          <w:rFonts w:hint="eastAsia" w:ascii="仿宋" w:hAnsi="仿宋" w:eastAsia="仿宋" w:cs="仿宋"/>
          <w:bCs/>
          <w:sz w:val="24"/>
          <w:szCs w:val="24"/>
          <w:lang w:val="zh-CN"/>
        </w:rPr>
        <w:instrText xml:space="preserve"> HYPERLINK \l _Toc7410 </w:instrText>
      </w:r>
      <w:r>
        <w:rPr>
          <w:rFonts w:hint="eastAsia" w:ascii="仿宋" w:hAnsi="仿宋" w:eastAsia="仿宋" w:cs="仿宋"/>
          <w:bCs/>
          <w:sz w:val="24"/>
          <w:szCs w:val="24"/>
          <w:lang w:val="zh-CN"/>
        </w:rPr>
        <w:fldChar w:fldCharType="separate"/>
      </w:r>
      <w:r>
        <w:rPr>
          <w:rFonts w:hint="eastAsia" w:ascii="仿宋" w:hAnsi="仿宋" w:eastAsia="仿宋" w:cs="仿宋"/>
          <w:bCs/>
          <w:snapToGrid/>
          <w:kern w:val="2"/>
          <w:sz w:val="24"/>
          <w:szCs w:val="24"/>
          <w:lang w:val="en-US" w:eastAsia="zh-CN" w:bidi="ar-SA"/>
        </w:rPr>
        <w:t>（四） 证据收集方式</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_Toc7410 \h </w:instrText>
      </w:r>
      <w:r>
        <w:rPr>
          <w:rFonts w:hint="eastAsia" w:ascii="仿宋" w:hAnsi="仿宋" w:eastAsia="仿宋" w:cs="仿宋"/>
          <w:sz w:val="24"/>
          <w:szCs w:val="24"/>
        </w:rPr>
        <w:fldChar w:fldCharType="separate"/>
      </w:r>
      <w:r>
        <w:rPr>
          <w:rFonts w:hint="eastAsia" w:ascii="仿宋" w:hAnsi="仿宋" w:eastAsia="仿宋" w:cs="仿宋"/>
          <w:sz w:val="24"/>
          <w:szCs w:val="24"/>
        </w:rPr>
        <w:t>9</w:t>
      </w:r>
      <w:r>
        <w:rPr>
          <w:rFonts w:hint="eastAsia" w:ascii="仿宋" w:hAnsi="仿宋" w:eastAsia="仿宋" w:cs="仿宋"/>
          <w:sz w:val="24"/>
          <w:szCs w:val="24"/>
        </w:rPr>
        <w:fldChar w:fldCharType="end"/>
      </w:r>
      <w:r>
        <w:rPr>
          <w:rFonts w:hint="eastAsia" w:ascii="仿宋" w:hAnsi="仿宋" w:eastAsia="仿宋" w:cs="仿宋"/>
          <w:bCs/>
          <w:sz w:val="24"/>
          <w:szCs w:val="24"/>
          <w:lang w:val="zh-CN"/>
        </w:rPr>
        <w:fldChar w:fldCharType="end"/>
      </w:r>
    </w:p>
    <w:p>
      <w:pPr>
        <w:pStyle w:val="9"/>
        <w:keepNext w:val="0"/>
        <w:keepLines w:val="0"/>
        <w:pageBreakBefore w:val="0"/>
        <w:widowControl/>
        <w:tabs>
          <w:tab w:val="right" w:leader="dot" w:pos="8788"/>
          <w:tab w:val="clear" w:pos="8948"/>
        </w:tabs>
        <w:kinsoku w:val="0"/>
        <w:wordWrap/>
        <w:overflowPunct/>
        <w:topLinePunct w:val="0"/>
        <w:autoSpaceDE w:val="0"/>
        <w:autoSpaceDN w:val="0"/>
        <w:bidi w:val="0"/>
        <w:adjustRightInd w:val="0"/>
        <w:snapToGrid w:val="0"/>
        <w:spacing w:line="480" w:lineRule="auto"/>
        <w:textAlignment w:val="baseline"/>
        <w:rPr>
          <w:rFonts w:hint="eastAsia" w:ascii="仿宋" w:hAnsi="仿宋" w:eastAsia="仿宋" w:cs="仿宋"/>
          <w:sz w:val="24"/>
          <w:szCs w:val="24"/>
        </w:rPr>
      </w:pPr>
      <w:r>
        <w:rPr>
          <w:rFonts w:hint="eastAsia" w:ascii="仿宋" w:hAnsi="仿宋" w:eastAsia="仿宋" w:cs="仿宋"/>
          <w:bCs/>
          <w:sz w:val="24"/>
          <w:szCs w:val="24"/>
          <w:lang w:val="zh-CN"/>
        </w:rPr>
        <w:fldChar w:fldCharType="begin"/>
      </w:r>
      <w:r>
        <w:rPr>
          <w:rFonts w:hint="eastAsia" w:ascii="仿宋" w:hAnsi="仿宋" w:eastAsia="仿宋" w:cs="仿宋"/>
          <w:bCs/>
          <w:sz w:val="24"/>
          <w:szCs w:val="24"/>
          <w:lang w:val="zh-CN"/>
        </w:rPr>
        <w:instrText xml:space="preserve"> HYPERLINK \l _Toc31412 </w:instrText>
      </w:r>
      <w:r>
        <w:rPr>
          <w:rFonts w:hint="eastAsia" w:ascii="仿宋" w:hAnsi="仿宋" w:eastAsia="仿宋" w:cs="仿宋"/>
          <w:bCs/>
          <w:sz w:val="24"/>
          <w:szCs w:val="24"/>
          <w:lang w:val="zh-CN"/>
        </w:rPr>
        <w:fldChar w:fldCharType="separate"/>
      </w:r>
      <w:r>
        <w:rPr>
          <w:rFonts w:hint="eastAsia" w:ascii="仿宋" w:hAnsi="仿宋" w:eastAsia="仿宋" w:cs="仿宋"/>
          <w:bCs/>
          <w:snapToGrid/>
          <w:sz w:val="24"/>
          <w:szCs w:val="24"/>
          <w:lang w:val="en-US" w:eastAsia="zh-CN" w:bidi="ar-SA"/>
        </w:rPr>
        <w:t>三、绩效评价分析</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_Toc31412 \h </w:instrText>
      </w:r>
      <w:r>
        <w:rPr>
          <w:rFonts w:hint="eastAsia" w:ascii="仿宋" w:hAnsi="仿宋" w:eastAsia="仿宋" w:cs="仿宋"/>
          <w:sz w:val="24"/>
          <w:szCs w:val="24"/>
        </w:rPr>
        <w:fldChar w:fldCharType="separate"/>
      </w:r>
      <w:r>
        <w:rPr>
          <w:rFonts w:hint="eastAsia" w:ascii="仿宋" w:hAnsi="仿宋" w:eastAsia="仿宋" w:cs="仿宋"/>
          <w:sz w:val="24"/>
          <w:szCs w:val="24"/>
        </w:rPr>
        <w:t>10</w:t>
      </w:r>
      <w:r>
        <w:rPr>
          <w:rFonts w:hint="eastAsia" w:ascii="仿宋" w:hAnsi="仿宋" w:eastAsia="仿宋" w:cs="仿宋"/>
          <w:sz w:val="24"/>
          <w:szCs w:val="24"/>
        </w:rPr>
        <w:fldChar w:fldCharType="end"/>
      </w:r>
      <w:r>
        <w:rPr>
          <w:rFonts w:hint="eastAsia" w:ascii="仿宋" w:hAnsi="仿宋" w:eastAsia="仿宋" w:cs="仿宋"/>
          <w:bCs/>
          <w:sz w:val="24"/>
          <w:szCs w:val="24"/>
          <w:lang w:val="zh-CN"/>
        </w:rPr>
        <w:fldChar w:fldCharType="end"/>
      </w:r>
    </w:p>
    <w:p>
      <w:pPr>
        <w:pStyle w:val="10"/>
        <w:keepNext w:val="0"/>
        <w:keepLines w:val="0"/>
        <w:pageBreakBefore w:val="0"/>
        <w:widowControl/>
        <w:tabs>
          <w:tab w:val="right" w:leader="dot" w:pos="8788"/>
          <w:tab w:val="clear" w:pos="8948"/>
        </w:tabs>
        <w:kinsoku w:val="0"/>
        <w:wordWrap/>
        <w:overflowPunct/>
        <w:topLinePunct w:val="0"/>
        <w:autoSpaceDE w:val="0"/>
        <w:autoSpaceDN w:val="0"/>
        <w:bidi w:val="0"/>
        <w:adjustRightInd w:val="0"/>
        <w:snapToGrid w:val="0"/>
        <w:spacing w:line="480" w:lineRule="auto"/>
        <w:textAlignment w:val="baseline"/>
        <w:rPr>
          <w:rFonts w:hint="eastAsia" w:ascii="仿宋" w:hAnsi="仿宋" w:eastAsia="仿宋" w:cs="仿宋"/>
          <w:sz w:val="24"/>
          <w:szCs w:val="24"/>
        </w:rPr>
      </w:pPr>
      <w:r>
        <w:rPr>
          <w:rFonts w:hint="eastAsia" w:ascii="仿宋" w:hAnsi="仿宋" w:eastAsia="仿宋" w:cs="仿宋"/>
          <w:bCs/>
          <w:sz w:val="24"/>
          <w:szCs w:val="24"/>
          <w:lang w:val="zh-CN"/>
        </w:rPr>
        <w:fldChar w:fldCharType="begin"/>
      </w:r>
      <w:r>
        <w:rPr>
          <w:rFonts w:hint="eastAsia" w:ascii="仿宋" w:hAnsi="仿宋" w:eastAsia="仿宋" w:cs="仿宋"/>
          <w:bCs/>
          <w:sz w:val="24"/>
          <w:szCs w:val="24"/>
          <w:lang w:val="zh-CN"/>
        </w:rPr>
        <w:instrText xml:space="preserve"> HYPERLINK \l _Toc8348 </w:instrText>
      </w:r>
      <w:r>
        <w:rPr>
          <w:rFonts w:hint="eastAsia" w:ascii="仿宋" w:hAnsi="仿宋" w:eastAsia="仿宋" w:cs="仿宋"/>
          <w:bCs/>
          <w:sz w:val="24"/>
          <w:szCs w:val="24"/>
          <w:lang w:val="zh-CN"/>
        </w:rPr>
        <w:fldChar w:fldCharType="separate"/>
      </w:r>
      <w:r>
        <w:rPr>
          <w:rFonts w:hint="eastAsia" w:ascii="仿宋" w:hAnsi="仿宋" w:eastAsia="仿宋" w:cs="仿宋"/>
          <w:bCs/>
          <w:snapToGrid/>
          <w:kern w:val="2"/>
          <w:sz w:val="24"/>
          <w:szCs w:val="24"/>
          <w:lang w:val="en-US" w:eastAsia="zh-CN" w:bidi="ar-SA"/>
        </w:rPr>
        <w:t>（一） 决策</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_Toc8348 \h </w:instrText>
      </w:r>
      <w:r>
        <w:rPr>
          <w:rFonts w:hint="eastAsia" w:ascii="仿宋" w:hAnsi="仿宋" w:eastAsia="仿宋" w:cs="仿宋"/>
          <w:sz w:val="24"/>
          <w:szCs w:val="24"/>
        </w:rPr>
        <w:fldChar w:fldCharType="separate"/>
      </w:r>
      <w:r>
        <w:rPr>
          <w:rFonts w:hint="eastAsia" w:ascii="仿宋" w:hAnsi="仿宋" w:eastAsia="仿宋" w:cs="仿宋"/>
          <w:sz w:val="24"/>
          <w:szCs w:val="24"/>
        </w:rPr>
        <w:t>10</w:t>
      </w:r>
      <w:r>
        <w:rPr>
          <w:rFonts w:hint="eastAsia" w:ascii="仿宋" w:hAnsi="仿宋" w:eastAsia="仿宋" w:cs="仿宋"/>
          <w:sz w:val="24"/>
          <w:szCs w:val="24"/>
        </w:rPr>
        <w:fldChar w:fldCharType="end"/>
      </w:r>
      <w:r>
        <w:rPr>
          <w:rFonts w:hint="eastAsia" w:ascii="仿宋" w:hAnsi="仿宋" w:eastAsia="仿宋" w:cs="仿宋"/>
          <w:bCs/>
          <w:sz w:val="24"/>
          <w:szCs w:val="24"/>
          <w:lang w:val="zh-CN"/>
        </w:rPr>
        <w:fldChar w:fldCharType="end"/>
      </w:r>
    </w:p>
    <w:p>
      <w:pPr>
        <w:pStyle w:val="10"/>
        <w:keepNext w:val="0"/>
        <w:keepLines w:val="0"/>
        <w:pageBreakBefore w:val="0"/>
        <w:widowControl/>
        <w:tabs>
          <w:tab w:val="right" w:leader="dot" w:pos="8788"/>
          <w:tab w:val="clear" w:pos="8948"/>
        </w:tabs>
        <w:kinsoku w:val="0"/>
        <w:wordWrap/>
        <w:overflowPunct/>
        <w:topLinePunct w:val="0"/>
        <w:autoSpaceDE w:val="0"/>
        <w:autoSpaceDN w:val="0"/>
        <w:bidi w:val="0"/>
        <w:adjustRightInd w:val="0"/>
        <w:snapToGrid w:val="0"/>
        <w:spacing w:line="480" w:lineRule="auto"/>
        <w:textAlignment w:val="baseline"/>
        <w:rPr>
          <w:rFonts w:hint="eastAsia" w:ascii="仿宋" w:hAnsi="仿宋" w:eastAsia="仿宋" w:cs="仿宋"/>
          <w:sz w:val="24"/>
          <w:szCs w:val="24"/>
        </w:rPr>
      </w:pPr>
      <w:r>
        <w:rPr>
          <w:rFonts w:hint="eastAsia" w:ascii="仿宋" w:hAnsi="仿宋" w:eastAsia="仿宋" w:cs="仿宋"/>
          <w:bCs/>
          <w:sz w:val="24"/>
          <w:szCs w:val="24"/>
          <w:lang w:val="zh-CN"/>
        </w:rPr>
        <w:fldChar w:fldCharType="begin"/>
      </w:r>
      <w:r>
        <w:rPr>
          <w:rFonts w:hint="eastAsia" w:ascii="仿宋" w:hAnsi="仿宋" w:eastAsia="仿宋" w:cs="仿宋"/>
          <w:bCs/>
          <w:sz w:val="24"/>
          <w:szCs w:val="24"/>
          <w:lang w:val="zh-CN"/>
        </w:rPr>
        <w:instrText xml:space="preserve"> HYPERLINK \l _Toc583 </w:instrText>
      </w:r>
      <w:r>
        <w:rPr>
          <w:rFonts w:hint="eastAsia" w:ascii="仿宋" w:hAnsi="仿宋" w:eastAsia="仿宋" w:cs="仿宋"/>
          <w:bCs/>
          <w:sz w:val="24"/>
          <w:szCs w:val="24"/>
          <w:lang w:val="zh-CN"/>
        </w:rPr>
        <w:fldChar w:fldCharType="separate"/>
      </w:r>
      <w:r>
        <w:rPr>
          <w:rFonts w:hint="eastAsia" w:ascii="仿宋" w:hAnsi="仿宋" w:eastAsia="仿宋" w:cs="仿宋"/>
          <w:bCs/>
          <w:snapToGrid/>
          <w:kern w:val="2"/>
          <w:sz w:val="24"/>
          <w:szCs w:val="24"/>
          <w:lang w:val="en-US" w:eastAsia="zh-CN" w:bidi="ar-SA"/>
        </w:rPr>
        <w:t>（二） 过程</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_Toc583 \h </w:instrText>
      </w:r>
      <w:r>
        <w:rPr>
          <w:rFonts w:hint="eastAsia" w:ascii="仿宋" w:hAnsi="仿宋" w:eastAsia="仿宋" w:cs="仿宋"/>
          <w:sz w:val="24"/>
          <w:szCs w:val="24"/>
        </w:rPr>
        <w:fldChar w:fldCharType="separate"/>
      </w:r>
      <w:r>
        <w:rPr>
          <w:rFonts w:hint="eastAsia" w:ascii="仿宋" w:hAnsi="仿宋" w:eastAsia="仿宋" w:cs="仿宋"/>
          <w:sz w:val="24"/>
          <w:szCs w:val="24"/>
        </w:rPr>
        <w:t>11</w:t>
      </w:r>
      <w:r>
        <w:rPr>
          <w:rFonts w:hint="eastAsia" w:ascii="仿宋" w:hAnsi="仿宋" w:eastAsia="仿宋" w:cs="仿宋"/>
          <w:sz w:val="24"/>
          <w:szCs w:val="24"/>
        </w:rPr>
        <w:fldChar w:fldCharType="end"/>
      </w:r>
      <w:r>
        <w:rPr>
          <w:rFonts w:hint="eastAsia" w:ascii="仿宋" w:hAnsi="仿宋" w:eastAsia="仿宋" w:cs="仿宋"/>
          <w:bCs/>
          <w:sz w:val="24"/>
          <w:szCs w:val="24"/>
          <w:lang w:val="zh-CN"/>
        </w:rPr>
        <w:fldChar w:fldCharType="end"/>
      </w:r>
    </w:p>
    <w:p>
      <w:pPr>
        <w:pStyle w:val="10"/>
        <w:keepNext w:val="0"/>
        <w:keepLines w:val="0"/>
        <w:pageBreakBefore w:val="0"/>
        <w:widowControl/>
        <w:tabs>
          <w:tab w:val="right" w:leader="dot" w:pos="8788"/>
          <w:tab w:val="clear" w:pos="8948"/>
        </w:tabs>
        <w:kinsoku w:val="0"/>
        <w:wordWrap/>
        <w:overflowPunct/>
        <w:topLinePunct w:val="0"/>
        <w:autoSpaceDE w:val="0"/>
        <w:autoSpaceDN w:val="0"/>
        <w:bidi w:val="0"/>
        <w:adjustRightInd w:val="0"/>
        <w:snapToGrid w:val="0"/>
        <w:spacing w:line="480" w:lineRule="auto"/>
        <w:textAlignment w:val="baseline"/>
        <w:rPr>
          <w:rFonts w:hint="eastAsia" w:ascii="仿宋" w:hAnsi="仿宋" w:eastAsia="仿宋" w:cs="仿宋"/>
          <w:sz w:val="24"/>
          <w:szCs w:val="24"/>
        </w:rPr>
      </w:pPr>
      <w:r>
        <w:rPr>
          <w:rFonts w:hint="eastAsia" w:ascii="仿宋" w:hAnsi="仿宋" w:eastAsia="仿宋" w:cs="仿宋"/>
          <w:bCs/>
          <w:sz w:val="24"/>
          <w:szCs w:val="24"/>
          <w:lang w:val="zh-CN"/>
        </w:rPr>
        <w:fldChar w:fldCharType="begin"/>
      </w:r>
      <w:r>
        <w:rPr>
          <w:rFonts w:hint="eastAsia" w:ascii="仿宋" w:hAnsi="仿宋" w:eastAsia="仿宋" w:cs="仿宋"/>
          <w:bCs/>
          <w:sz w:val="24"/>
          <w:szCs w:val="24"/>
          <w:lang w:val="zh-CN"/>
        </w:rPr>
        <w:instrText xml:space="preserve"> HYPERLINK \l _Toc28753 </w:instrText>
      </w:r>
      <w:r>
        <w:rPr>
          <w:rFonts w:hint="eastAsia" w:ascii="仿宋" w:hAnsi="仿宋" w:eastAsia="仿宋" w:cs="仿宋"/>
          <w:bCs/>
          <w:sz w:val="24"/>
          <w:szCs w:val="24"/>
          <w:lang w:val="zh-CN"/>
        </w:rPr>
        <w:fldChar w:fldCharType="separate"/>
      </w:r>
      <w:r>
        <w:rPr>
          <w:rFonts w:hint="eastAsia" w:ascii="仿宋" w:hAnsi="仿宋" w:eastAsia="仿宋" w:cs="仿宋"/>
          <w:bCs/>
          <w:snapToGrid/>
          <w:kern w:val="2"/>
          <w:sz w:val="24"/>
          <w:szCs w:val="24"/>
          <w:lang w:val="en-US" w:eastAsia="zh-CN" w:bidi="ar-SA"/>
        </w:rPr>
        <w:t>（三） 产出</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_Toc28753 \h </w:instrText>
      </w:r>
      <w:r>
        <w:rPr>
          <w:rFonts w:hint="eastAsia" w:ascii="仿宋" w:hAnsi="仿宋" w:eastAsia="仿宋" w:cs="仿宋"/>
          <w:sz w:val="24"/>
          <w:szCs w:val="24"/>
        </w:rPr>
        <w:fldChar w:fldCharType="separate"/>
      </w:r>
      <w:r>
        <w:rPr>
          <w:rFonts w:hint="eastAsia" w:ascii="仿宋" w:hAnsi="仿宋" w:eastAsia="仿宋" w:cs="仿宋"/>
          <w:sz w:val="24"/>
          <w:szCs w:val="24"/>
        </w:rPr>
        <w:t>12</w:t>
      </w:r>
      <w:r>
        <w:rPr>
          <w:rFonts w:hint="eastAsia" w:ascii="仿宋" w:hAnsi="仿宋" w:eastAsia="仿宋" w:cs="仿宋"/>
          <w:sz w:val="24"/>
          <w:szCs w:val="24"/>
        </w:rPr>
        <w:fldChar w:fldCharType="end"/>
      </w:r>
      <w:r>
        <w:rPr>
          <w:rFonts w:hint="eastAsia" w:ascii="仿宋" w:hAnsi="仿宋" w:eastAsia="仿宋" w:cs="仿宋"/>
          <w:bCs/>
          <w:sz w:val="24"/>
          <w:szCs w:val="24"/>
          <w:lang w:val="zh-CN"/>
        </w:rPr>
        <w:fldChar w:fldCharType="end"/>
      </w:r>
    </w:p>
    <w:p>
      <w:pPr>
        <w:pStyle w:val="10"/>
        <w:keepNext w:val="0"/>
        <w:keepLines w:val="0"/>
        <w:pageBreakBefore w:val="0"/>
        <w:widowControl/>
        <w:tabs>
          <w:tab w:val="right" w:leader="dot" w:pos="8788"/>
          <w:tab w:val="clear" w:pos="8948"/>
        </w:tabs>
        <w:kinsoku w:val="0"/>
        <w:wordWrap/>
        <w:overflowPunct/>
        <w:topLinePunct w:val="0"/>
        <w:autoSpaceDE w:val="0"/>
        <w:autoSpaceDN w:val="0"/>
        <w:bidi w:val="0"/>
        <w:adjustRightInd w:val="0"/>
        <w:snapToGrid w:val="0"/>
        <w:spacing w:line="480" w:lineRule="auto"/>
        <w:textAlignment w:val="baseline"/>
        <w:rPr>
          <w:rFonts w:hint="eastAsia" w:ascii="仿宋" w:hAnsi="仿宋" w:eastAsia="仿宋" w:cs="仿宋"/>
          <w:sz w:val="24"/>
          <w:szCs w:val="24"/>
        </w:rPr>
      </w:pPr>
      <w:r>
        <w:rPr>
          <w:rFonts w:hint="eastAsia" w:ascii="仿宋" w:hAnsi="仿宋" w:eastAsia="仿宋" w:cs="仿宋"/>
          <w:bCs/>
          <w:sz w:val="24"/>
          <w:szCs w:val="24"/>
          <w:lang w:val="zh-CN"/>
        </w:rPr>
        <w:fldChar w:fldCharType="begin"/>
      </w:r>
      <w:r>
        <w:rPr>
          <w:rFonts w:hint="eastAsia" w:ascii="仿宋" w:hAnsi="仿宋" w:eastAsia="仿宋" w:cs="仿宋"/>
          <w:bCs/>
          <w:sz w:val="24"/>
          <w:szCs w:val="24"/>
          <w:lang w:val="zh-CN"/>
        </w:rPr>
        <w:instrText xml:space="preserve"> HYPERLINK \l _Toc1410 </w:instrText>
      </w:r>
      <w:r>
        <w:rPr>
          <w:rFonts w:hint="eastAsia" w:ascii="仿宋" w:hAnsi="仿宋" w:eastAsia="仿宋" w:cs="仿宋"/>
          <w:bCs/>
          <w:sz w:val="24"/>
          <w:szCs w:val="24"/>
          <w:lang w:val="zh-CN"/>
        </w:rPr>
        <w:fldChar w:fldCharType="separate"/>
      </w:r>
      <w:r>
        <w:rPr>
          <w:rFonts w:hint="eastAsia" w:ascii="仿宋" w:hAnsi="仿宋" w:eastAsia="仿宋" w:cs="仿宋"/>
          <w:bCs/>
          <w:snapToGrid/>
          <w:kern w:val="2"/>
          <w:sz w:val="24"/>
          <w:szCs w:val="24"/>
          <w:lang w:val="en-US" w:eastAsia="zh-CN" w:bidi="ar-SA"/>
        </w:rPr>
        <w:t>（四） 效果</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_Toc1410 \h </w:instrText>
      </w:r>
      <w:r>
        <w:rPr>
          <w:rFonts w:hint="eastAsia" w:ascii="仿宋" w:hAnsi="仿宋" w:eastAsia="仿宋" w:cs="仿宋"/>
          <w:sz w:val="24"/>
          <w:szCs w:val="24"/>
        </w:rPr>
        <w:fldChar w:fldCharType="separate"/>
      </w:r>
      <w:r>
        <w:rPr>
          <w:rFonts w:hint="eastAsia" w:ascii="仿宋" w:hAnsi="仿宋" w:eastAsia="仿宋" w:cs="仿宋"/>
          <w:sz w:val="24"/>
          <w:szCs w:val="24"/>
        </w:rPr>
        <w:t>15</w:t>
      </w:r>
      <w:r>
        <w:rPr>
          <w:rFonts w:hint="eastAsia" w:ascii="仿宋" w:hAnsi="仿宋" w:eastAsia="仿宋" w:cs="仿宋"/>
          <w:sz w:val="24"/>
          <w:szCs w:val="24"/>
        </w:rPr>
        <w:fldChar w:fldCharType="end"/>
      </w:r>
      <w:r>
        <w:rPr>
          <w:rFonts w:hint="eastAsia" w:ascii="仿宋" w:hAnsi="仿宋" w:eastAsia="仿宋" w:cs="仿宋"/>
          <w:bCs/>
          <w:sz w:val="24"/>
          <w:szCs w:val="24"/>
          <w:lang w:val="zh-CN"/>
        </w:rPr>
        <w:fldChar w:fldCharType="end"/>
      </w:r>
    </w:p>
    <w:p>
      <w:pPr>
        <w:pStyle w:val="9"/>
        <w:keepNext w:val="0"/>
        <w:keepLines w:val="0"/>
        <w:pageBreakBefore w:val="0"/>
        <w:widowControl/>
        <w:tabs>
          <w:tab w:val="right" w:leader="dot" w:pos="8788"/>
          <w:tab w:val="clear" w:pos="8948"/>
        </w:tabs>
        <w:kinsoku w:val="0"/>
        <w:wordWrap/>
        <w:overflowPunct/>
        <w:topLinePunct w:val="0"/>
        <w:autoSpaceDE w:val="0"/>
        <w:autoSpaceDN w:val="0"/>
        <w:bidi w:val="0"/>
        <w:adjustRightInd w:val="0"/>
        <w:snapToGrid w:val="0"/>
        <w:spacing w:line="480" w:lineRule="auto"/>
        <w:textAlignment w:val="baseline"/>
        <w:rPr>
          <w:rFonts w:hint="eastAsia" w:ascii="仿宋" w:hAnsi="仿宋" w:eastAsia="仿宋" w:cs="仿宋"/>
          <w:sz w:val="24"/>
          <w:szCs w:val="24"/>
        </w:rPr>
      </w:pPr>
      <w:r>
        <w:rPr>
          <w:rFonts w:hint="eastAsia" w:ascii="仿宋" w:hAnsi="仿宋" w:eastAsia="仿宋" w:cs="仿宋"/>
          <w:bCs/>
          <w:sz w:val="24"/>
          <w:szCs w:val="24"/>
          <w:lang w:val="zh-CN"/>
        </w:rPr>
        <w:fldChar w:fldCharType="begin"/>
      </w:r>
      <w:r>
        <w:rPr>
          <w:rFonts w:hint="eastAsia" w:ascii="仿宋" w:hAnsi="仿宋" w:eastAsia="仿宋" w:cs="仿宋"/>
          <w:bCs/>
          <w:sz w:val="24"/>
          <w:szCs w:val="24"/>
          <w:lang w:val="zh-CN"/>
        </w:rPr>
        <w:instrText xml:space="preserve"> HYPERLINK \l _Toc7862 </w:instrText>
      </w:r>
      <w:r>
        <w:rPr>
          <w:rFonts w:hint="eastAsia" w:ascii="仿宋" w:hAnsi="仿宋" w:eastAsia="仿宋" w:cs="仿宋"/>
          <w:bCs/>
          <w:sz w:val="24"/>
          <w:szCs w:val="24"/>
          <w:lang w:val="zh-CN"/>
        </w:rPr>
        <w:fldChar w:fldCharType="separate"/>
      </w:r>
      <w:r>
        <w:rPr>
          <w:rFonts w:hint="eastAsia" w:ascii="仿宋" w:hAnsi="仿宋" w:eastAsia="仿宋" w:cs="仿宋"/>
          <w:bCs/>
          <w:snapToGrid/>
          <w:sz w:val="24"/>
          <w:szCs w:val="24"/>
          <w:lang w:val="en-US" w:eastAsia="zh-CN" w:bidi="ar-SA"/>
        </w:rPr>
        <w:t>四、评价结论</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_Toc7862 \h </w:instrText>
      </w:r>
      <w:r>
        <w:rPr>
          <w:rFonts w:hint="eastAsia" w:ascii="仿宋" w:hAnsi="仿宋" w:eastAsia="仿宋" w:cs="仿宋"/>
          <w:sz w:val="24"/>
          <w:szCs w:val="24"/>
        </w:rPr>
        <w:fldChar w:fldCharType="separate"/>
      </w:r>
      <w:r>
        <w:rPr>
          <w:rFonts w:hint="eastAsia" w:ascii="仿宋" w:hAnsi="仿宋" w:eastAsia="仿宋" w:cs="仿宋"/>
          <w:sz w:val="24"/>
          <w:szCs w:val="24"/>
        </w:rPr>
        <w:t>16</w:t>
      </w:r>
      <w:r>
        <w:rPr>
          <w:rFonts w:hint="eastAsia" w:ascii="仿宋" w:hAnsi="仿宋" w:eastAsia="仿宋" w:cs="仿宋"/>
          <w:sz w:val="24"/>
          <w:szCs w:val="24"/>
        </w:rPr>
        <w:fldChar w:fldCharType="end"/>
      </w:r>
      <w:r>
        <w:rPr>
          <w:rFonts w:hint="eastAsia" w:ascii="仿宋" w:hAnsi="仿宋" w:eastAsia="仿宋" w:cs="仿宋"/>
          <w:bCs/>
          <w:sz w:val="24"/>
          <w:szCs w:val="24"/>
          <w:lang w:val="zh-CN"/>
        </w:rPr>
        <w:fldChar w:fldCharType="end"/>
      </w:r>
    </w:p>
    <w:p>
      <w:pPr>
        <w:pStyle w:val="9"/>
        <w:keepNext w:val="0"/>
        <w:keepLines w:val="0"/>
        <w:pageBreakBefore w:val="0"/>
        <w:widowControl/>
        <w:tabs>
          <w:tab w:val="right" w:leader="dot" w:pos="8788"/>
          <w:tab w:val="clear" w:pos="8948"/>
        </w:tabs>
        <w:kinsoku w:val="0"/>
        <w:wordWrap/>
        <w:overflowPunct/>
        <w:topLinePunct w:val="0"/>
        <w:autoSpaceDE w:val="0"/>
        <w:autoSpaceDN w:val="0"/>
        <w:bidi w:val="0"/>
        <w:adjustRightInd w:val="0"/>
        <w:snapToGrid w:val="0"/>
        <w:spacing w:line="480" w:lineRule="auto"/>
        <w:textAlignment w:val="baseline"/>
        <w:rPr>
          <w:rFonts w:hint="eastAsia" w:ascii="仿宋" w:hAnsi="仿宋" w:eastAsia="仿宋" w:cs="仿宋"/>
          <w:sz w:val="24"/>
          <w:szCs w:val="24"/>
        </w:rPr>
      </w:pPr>
      <w:r>
        <w:rPr>
          <w:rFonts w:hint="eastAsia" w:ascii="仿宋" w:hAnsi="仿宋" w:eastAsia="仿宋" w:cs="仿宋"/>
          <w:bCs/>
          <w:sz w:val="24"/>
          <w:szCs w:val="24"/>
          <w:lang w:val="zh-CN"/>
        </w:rPr>
        <w:fldChar w:fldCharType="begin"/>
      </w:r>
      <w:r>
        <w:rPr>
          <w:rFonts w:hint="eastAsia" w:ascii="仿宋" w:hAnsi="仿宋" w:eastAsia="仿宋" w:cs="仿宋"/>
          <w:bCs/>
          <w:sz w:val="24"/>
          <w:szCs w:val="24"/>
          <w:lang w:val="zh-CN"/>
        </w:rPr>
        <w:instrText xml:space="preserve"> HYPERLINK \l _Toc9398 </w:instrText>
      </w:r>
      <w:r>
        <w:rPr>
          <w:rFonts w:hint="eastAsia" w:ascii="仿宋" w:hAnsi="仿宋" w:eastAsia="仿宋" w:cs="仿宋"/>
          <w:bCs/>
          <w:sz w:val="24"/>
          <w:szCs w:val="24"/>
          <w:lang w:val="zh-CN"/>
        </w:rPr>
        <w:fldChar w:fldCharType="separate"/>
      </w:r>
      <w:r>
        <w:rPr>
          <w:rFonts w:hint="eastAsia" w:ascii="仿宋" w:hAnsi="仿宋" w:eastAsia="仿宋" w:cs="仿宋"/>
          <w:bCs/>
          <w:snapToGrid/>
          <w:sz w:val="24"/>
          <w:szCs w:val="24"/>
          <w:lang w:val="en-US" w:eastAsia="zh-CN" w:bidi="ar-SA"/>
        </w:rPr>
        <w:t>五、存在的问题和建议</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_Toc9398 \h </w:instrText>
      </w:r>
      <w:r>
        <w:rPr>
          <w:rFonts w:hint="eastAsia" w:ascii="仿宋" w:hAnsi="仿宋" w:eastAsia="仿宋" w:cs="仿宋"/>
          <w:sz w:val="24"/>
          <w:szCs w:val="24"/>
        </w:rPr>
        <w:fldChar w:fldCharType="separate"/>
      </w:r>
      <w:r>
        <w:rPr>
          <w:rFonts w:hint="eastAsia" w:ascii="仿宋" w:hAnsi="仿宋" w:eastAsia="仿宋" w:cs="仿宋"/>
          <w:sz w:val="24"/>
          <w:szCs w:val="24"/>
        </w:rPr>
        <w:t>16</w:t>
      </w:r>
      <w:r>
        <w:rPr>
          <w:rFonts w:hint="eastAsia" w:ascii="仿宋" w:hAnsi="仿宋" w:eastAsia="仿宋" w:cs="仿宋"/>
          <w:sz w:val="24"/>
          <w:szCs w:val="24"/>
        </w:rPr>
        <w:fldChar w:fldCharType="end"/>
      </w:r>
      <w:r>
        <w:rPr>
          <w:rFonts w:hint="eastAsia" w:ascii="仿宋" w:hAnsi="仿宋" w:eastAsia="仿宋" w:cs="仿宋"/>
          <w:bCs/>
          <w:sz w:val="24"/>
          <w:szCs w:val="24"/>
          <w:lang w:val="zh-CN"/>
        </w:rPr>
        <w:fldChar w:fldCharType="end"/>
      </w:r>
    </w:p>
    <w:p>
      <w:pPr>
        <w:pStyle w:val="10"/>
        <w:keepNext w:val="0"/>
        <w:keepLines w:val="0"/>
        <w:pageBreakBefore w:val="0"/>
        <w:widowControl/>
        <w:tabs>
          <w:tab w:val="right" w:leader="dot" w:pos="8788"/>
          <w:tab w:val="clear" w:pos="8948"/>
        </w:tabs>
        <w:kinsoku w:val="0"/>
        <w:wordWrap/>
        <w:overflowPunct/>
        <w:topLinePunct w:val="0"/>
        <w:autoSpaceDE w:val="0"/>
        <w:autoSpaceDN w:val="0"/>
        <w:bidi w:val="0"/>
        <w:adjustRightInd w:val="0"/>
        <w:snapToGrid w:val="0"/>
        <w:spacing w:line="480" w:lineRule="auto"/>
        <w:textAlignment w:val="baseline"/>
        <w:rPr>
          <w:rFonts w:hint="eastAsia" w:ascii="仿宋" w:hAnsi="仿宋" w:eastAsia="仿宋" w:cs="仿宋"/>
          <w:sz w:val="24"/>
          <w:szCs w:val="24"/>
        </w:rPr>
      </w:pPr>
      <w:r>
        <w:rPr>
          <w:rFonts w:hint="eastAsia" w:ascii="仿宋" w:hAnsi="仿宋" w:eastAsia="仿宋" w:cs="仿宋"/>
          <w:bCs/>
          <w:sz w:val="24"/>
          <w:szCs w:val="24"/>
          <w:lang w:val="zh-CN"/>
        </w:rPr>
        <w:fldChar w:fldCharType="begin"/>
      </w:r>
      <w:r>
        <w:rPr>
          <w:rFonts w:hint="eastAsia" w:ascii="仿宋" w:hAnsi="仿宋" w:eastAsia="仿宋" w:cs="仿宋"/>
          <w:bCs/>
          <w:sz w:val="24"/>
          <w:szCs w:val="24"/>
          <w:lang w:val="zh-CN"/>
        </w:rPr>
        <w:instrText xml:space="preserve"> HYPERLINK \l _Toc18957 </w:instrText>
      </w:r>
      <w:r>
        <w:rPr>
          <w:rFonts w:hint="eastAsia" w:ascii="仿宋" w:hAnsi="仿宋" w:eastAsia="仿宋" w:cs="仿宋"/>
          <w:bCs/>
          <w:sz w:val="24"/>
          <w:szCs w:val="24"/>
          <w:lang w:val="zh-CN"/>
        </w:rPr>
        <w:fldChar w:fldCharType="separate"/>
      </w:r>
      <w:r>
        <w:rPr>
          <w:rFonts w:hint="eastAsia" w:ascii="仿宋" w:hAnsi="仿宋" w:eastAsia="仿宋" w:cs="仿宋"/>
          <w:bCs/>
          <w:snapToGrid/>
          <w:kern w:val="2"/>
          <w:sz w:val="24"/>
          <w:szCs w:val="24"/>
          <w:lang w:val="en-US" w:eastAsia="zh-CN" w:bidi="ar-SA"/>
        </w:rPr>
        <w:t>（一） 存在的问题</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_Toc18957 \h </w:instrText>
      </w:r>
      <w:r>
        <w:rPr>
          <w:rFonts w:hint="eastAsia" w:ascii="仿宋" w:hAnsi="仿宋" w:eastAsia="仿宋" w:cs="仿宋"/>
          <w:sz w:val="24"/>
          <w:szCs w:val="24"/>
        </w:rPr>
        <w:fldChar w:fldCharType="separate"/>
      </w:r>
      <w:r>
        <w:rPr>
          <w:rFonts w:hint="eastAsia" w:ascii="仿宋" w:hAnsi="仿宋" w:eastAsia="仿宋" w:cs="仿宋"/>
          <w:sz w:val="24"/>
          <w:szCs w:val="24"/>
        </w:rPr>
        <w:t>16</w:t>
      </w:r>
      <w:r>
        <w:rPr>
          <w:rFonts w:hint="eastAsia" w:ascii="仿宋" w:hAnsi="仿宋" w:eastAsia="仿宋" w:cs="仿宋"/>
          <w:sz w:val="24"/>
          <w:szCs w:val="24"/>
        </w:rPr>
        <w:fldChar w:fldCharType="end"/>
      </w:r>
      <w:r>
        <w:rPr>
          <w:rFonts w:hint="eastAsia" w:ascii="仿宋" w:hAnsi="仿宋" w:eastAsia="仿宋" w:cs="仿宋"/>
          <w:bCs/>
          <w:sz w:val="24"/>
          <w:szCs w:val="24"/>
          <w:lang w:val="zh-CN"/>
        </w:rPr>
        <w:fldChar w:fldCharType="end"/>
      </w:r>
    </w:p>
    <w:p>
      <w:pPr>
        <w:pStyle w:val="10"/>
        <w:keepNext w:val="0"/>
        <w:keepLines w:val="0"/>
        <w:pageBreakBefore w:val="0"/>
        <w:widowControl/>
        <w:tabs>
          <w:tab w:val="right" w:leader="dot" w:pos="8788"/>
          <w:tab w:val="clear" w:pos="8948"/>
        </w:tabs>
        <w:kinsoku w:val="0"/>
        <w:wordWrap/>
        <w:overflowPunct/>
        <w:topLinePunct w:val="0"/>
        <w:autoSpaceDE w:val="0"/>
        <w:autoSpaceDN w:val="0"/>
        <w:bidi w:val="0"/>
        <w:adjustRightInd w:val="0"/>
        <w:snapToGrid w:val="0"/>
        <w:spacing w:line="480" w:lineRule="auto"/>
        <w:textAlignment w:val="baseline"/>
        <w:rPr>
          <w:rFonts w:hint="eastAsia" w:ascii="仿宋" w:hAnsi="仿宋" w:eastAsia="仿宋" w:cs="仿宋"/>
          <w:sz w:val="24"/>
          <w:szCs w:val="24"/>
        </w:rPr>
      </w:pPr>
      <w:r>
        <w:rPr>
          <w:rFonts w:hint="eastAsia" w:ascii="仿宋" w:hAnsi="仿宋" w:eastAsia="仿宋" w:cs="仿宋"/>
          <w:bCs/>
          <w:sz w:val="24"/>
          <w:szCs w:val="24"/>
          <w:lang w:val="zh-CN"/>
        </w:rPr>
        <w:fldChar w:fldCharType="begin"/>
      </w:r>
      <w:r>
        <w:rPr>
          <w:rFonts w:hint="eastAsia" w:ascii="仿宋" w:hAnsi="仿宋" w:eastAsia="仿宋" w:cs="仿宋"/>
          <w:bCs/>
          <w:sz w:val="24"/>
          <w:szCs w:val="24"/>
          <w:lang w:val="zh-CN"/>
        </w:rPr>
        <w:instrText xml:space="preserve"> HYPERLINK \l _Toc28528 </w:instrText>
      </w:r>
      <w:r>
        <w:rPr>
          <w:rFonts w:hint="eastAsia" w:ascii="仿宋" w:hAnsi="仿宋" w:eastAsia="仿宋" w:cs="仿宋"/>
          <w:bCs/>
          <w:sz w:val="24"/>
          <w:szCs w:val="24"/>
          <w:lang w:val="zh-CN"/>
        </w:rPr>
        <w:fldChar w:fldCharType="separate"/>
      </w:r>
      <w:r>
        <w:rPr>
          <w:rFonts w:hint="eastAsia" w:ascii="仿宋" w:hAnsi="仿宋" w:eastAsia="仿宋" w:cs="仿宋"/>
          <w:bCs/>
          <w:snapToGrid/>
          <w:kern w:val="2"/>
          <w:sz w:val="24"/>
          <w:szCs w:val="24"/>
          <w:lang w:val="en-US" w:eastAsia="zh-CN" w:bidi="ar-SA"/>
        </w:rPr>
        <w:t>（二） 改进建议</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_Toc28528 \h </w:instrText>
      </w:r>
      <w:r>
        <w:rPr>
          <w:rFonts w:hint="eastAsia" w:ascii="仿宋" w:hAnsi="仿宋" w:eastAsia="仿宋" w:cs="仿宋"/>
          <w:sz w:val="24"/>
          <w:szCs w:val="24"/>
        </w:rPr>
        <w:fldChar w:fldCharType="separate"/>
      </w:r>
      <w:r>
        <w:rPr>
          <w:rFonts w:hint="eastAsia" w:ascii="仿宋" w:hAnsi="仿宋" w:eastAsia="仿宋" w:cs="仿宋"/>
          <w:sz w:val="24"/>
          <w:szCs w:val="24"/>
        </w:rPr>
        <w:t>17</w:t>
      </w:r>
      <w:r>
        <w:rPr>
          <w:rFonts w:hint="eastAsia" w:ascii="仿宋" w:hAnsi="仿宋" w:eastAsia="仿宋" w:cs="仿宋"/>
          <w:sz w:val="24"/>
          <w:szCs w:val="24"/>
        </w:rPr>
        <w:fldChar w:fldCharType="end"/>
      </w:r>
      <w:r>
        <w:rPr>
          <w:rFonts w:hint="eastAsia" w:ascii="仿宋" w:hAnsi="仿宋" w:eastAsia="仿宋" w:cs="仿宋"/>
          <w:bCs/>
          <w:sz w:val="24"/>
          <w:szCs w:val="24"/>
          <w:lang w:val="zh-CN"/>
        </w:rPr>
        <w:fldChar w:fldCharType="end"/>
      </w:r>
    </w:p>
    <w:p>
      <w:pPr>
        <w:pStyle w:val="9"/>
        <w:keepNext w:val="0"/>
        <w:keepLines w:val="0"/>
        <w:pageBreakBefore w:val="0"/>
        <w:widowControl/>
        <w:tabs>
          <w:tab w:val="right" w:leader="dot" w:pos="8788"/>
          <w:tab w:val="clear" w:pos="8948"/>
        </w:tabs>
        <w:kinsoku w:val="0"/>
        <w:wordWrap/>
        <w:overflowPunct/>
        <w:topLinePunct w:val="0"/>
        <w:autoSpaceDE w:val="0"/>
        <w:autoSpaceDN w:val="0"/>
        <w:bidi w:val="0"/>
        <w:adjustRightInd w:val="0"/>
        <w:snapToGrid w:val="0"/>
        <w:spacing w:line="480" w:lineRule="auto"/>
        <w:textAlignment w:val="baseline"/>
        <w:rPr>
          <w:rFonts w:hint="eastAsia" w:ascii="仿宋" w:hAnsi="仿宋" w:eastAsia="仿宋" w:cs="仿宋"/>
          <w:sz w:val="24"/>
          <w:szCs w:val="24"/>
        </w:rPr>
      </w:pPr>
      <w:r>
        <w:rPr>
          <w:rFonts w:hint="eastAsia" w:ascii="仿宋" w:hAnsi="仿宋" w:eastAsia="仿宋" w:cs="仿宋"/>
          <w:bCs/>
          <w:sz w:val="24"/>
          <w:szCs w:val="24"/>
          <w:lang w:val="zh-CN"/>
        </w:rPr>
        <w:fldChar w:fldCharType="begin"/>
      </w:r>
      <w:r>
        <w:rPr>
          <w:rFonts w:hint="eastAsia" w:ascii="仿宋" w:hAnsi="仿宋" w:eastAsia="仿宋" w:cs="仿宋"/>
          <w:bCs/>
          <w:sz w:val="24"/>
          <w:szCs w:val="24"/>
          <w:lang w:val="zh-CN"/>
        </w:rPr>
        <w:instrText xml:space="preserve"> HYPERLINK \l _Toc19649 </w:instrText>
      </w:r>
      <w:r>
        <w:rPr>
          <w:rFonts w:hint="eastAsia" w:ascii="仿宋" w:hAnsi="仿宋" w:eastAsia="仿宋" w:cs="仿宋"/>
          <w:bCs/>
          <w:sz w:val="24"/>
          <w:szCs w:val="24"/>
          <w:lang w:val="zh-CN"/>
        </w:rPr>
        <w:fldChar w:fldCharType="separate"/>
      </w:r>
      <w:r>
        <w:rPr>
          <w:rFonts w:hint="eastAsia" w:ascii="仿宋" w:hAnsi="仿宋" w:eastAsia="仿宋" w:cs="仿宋"/>
          <w:bCs/>
          <w:snapToGrid/>
          <w:sz w:val="24"/>
          <w:szCs w:val="24"/>
          <w:lang w:val="en-US" w:eastAsia="zh-CN" w:bidi="ar-SA"/>
        </w:rPr>
        <w:t>六、其他需说明的情况</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_Toc19649 \h </w:instrText>
      </w:r>
      <w:r>
        <w:rPr>
          <w:rFonts w:hint="eastAsia" w:ascii="仿宋" w:hAnsi="仿宋" w:eastAsia="仿宋" w:cs="仿宋"/>
          <w:sz w:val="24"/>
          <w:szCs w:val="24"/>
        </w:rPr>
        <w:fldChar w:fldCharType="separate"/>
      </w:r>
      <w:r>
        <w:rPr>
          <w:rFonts w:hint="eastAsia" w:ascii="仿宋" w:hAnsi="仿宋" w:eastAsia="仿宋" w:cs="仿宋"/>
          <w:sz w:val="24"/>
          <w:szCs w:val="24"/>
        </w:rPr>
        <w:t>17</w:t>
      </w:r>
      <w:r>
        <w:rPr>
          <w:rFonts w:hint="eastAsia" w:ascii="仿宋" w:hAnsi="仿宋" w:eastAsia="仿宋" w:cs="仿宋"/>
          <w:sz w:val="24"/>
          <w:szCs w:val="24"/>
        </w:rPr>
        <w:fldChar w:fldCharType="end"/>
      </w:r>
      <w:r>
        <w:rPr>
          <w:rFonts w:hint="eastAsia" w:ascii="仿宋" w:hAnsi="仿宋" w:eastAsia="仿宋" w:cs="仿宋"/>
          <w:bCs/>
          <w:sz w:val="24"/>
          <w:szCs w:val="24"/>
          <w:lang w:val="zh-CN"/>
        </w:rPr>
        <w:fldChar w:fldCharType="end"/>
      </w:r>
    </w:p>
    <w:p>
      <w:pPr>
        <w:pStyle w:val="9"/>
        <w:keepNext w:val="0"/>
        <w:keepLines w:val="0"/>
        <w:pageBreakBefore w:val="0"/>
        <w:widowControl/>
        <w:tabs>
          <w:tab w:val="right" w:leader="dot" w:pos="8788"/>
          <w:tab w:val="clear" w:pos="8948"/>
        </w:tabs>
        <w:kinsoku w:val="0"/>
        <w:wordWrap/>
        <w:overflowPunct/>
        <w:topLinePunct w:val="0"/>
        <w:autoSpaceDE w:val="0"/>
        <w:autoSpaceDN w:val="0"/>
        <w:bidi w:val="0"/>
        <w:adjustRightInd w:val="0"/>
        <w:snapToGrid w:val="0"/>
        <w:spacing w:line="480" w:lineRule="auto"/>
        <w:textAlignment w:val="baseline"/>
        <w:rPr>
          <w:rFonts w:hint="eastAsia" w:ascii="仿宋" w:hAnsi="仿宋" w:eastAsia="仿宋" w:cs="仿宋"/>
          <w:sz w:val="24"/>
          <w:szCs w:val="24"/>
        </w:rPr>
      </w:pPr>
      <w:r>
        <w:rPr>
          <w:rFonts w:hint="eastAsia" w:ascii="仿宋" w:hAnsi="仿宋" w:eastAsia="仿宋" w:cs="仿宋"/>
          <w:bCs/>
          <w:sz w:val="24"/>
          <w:szCs w:val="24"/>
          <w:lang w:val="zh-CN"/>
        </w:rPr>
        <w:fldChar w:fldCharType="begin"/>
      </w:r>
      <w:r>
        <w:rPr>
          <w:rFonts w:hint="eastAsia" w:ascii="仿宋" w:hAnsi="仿宋" w:eastAsia="仿宋" w:cs="仿宋"/>
          <w:bCs/>
          <w:sz w:val="24"/>
          <w:szCs w:val="24"/>
          <w:lang w:val="zh-CN"/>
        </w:rPr>
        <w:instrText xml:space="preserve"> HYPERLINK \l _Toc25427 </w:instrText>
      </w:r>
      <w:r>
        <w:rPr>
          <w:rFonts w:hint="eastAsia" w:ascii="仿宋" w:hAnsi="仿宋" w:eastAsia="仿宋" w:cs="仿宋"/>
          <w:bCs/>
          <w:sz w:val="24"/>
          <w:szCs w:val="24"/>
          <w:lang w:val="zh-CN"/>
        </w:rPr>
        <w:fldChar w:fldCharType="separate"/>
      </w:r>
      <w:r>
        <w:rPr>
          <w:rFonts w:hint="eastAsia" w:ascii="仿宋" w:hAnsi="仿宋" w:eastAsia="仿宋" w:cs="仿宋"/>
          <w:bCs/>
          <w:snapToGrid/>
          <w:sz w:val="24"/>
          <w:szCs w:val="24"/>
          <w:lang w:val="en-US" w:eastAsia="zh-CN" w:bidi="ar-SA"/>
        </w:rPr>
        <w:t>七、附件</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_Toc25427 \h </w:instrText>
      </w:r>
      <w:r>
        <w:rPr>
          <w:rFonts w:hint="eastAsia" w:ascii="仿宋" w:hAnsi="仿宋" w:eastAsia="仿宋" w:cs="仿宋"/>
          <w:sz w:val="24"/>
          <w:szCs w:val="24"/>
        </w:rPr>
        <w:fldChar w:fldCharType="separate"/>
      </w:r>
      <w:r>
        <w:rPr>
          <w:rFonts w:hint="eastAsia" w:ascii="仿宋" w:hAnsi="仿宋" w:eastAsia="仿宋" w:cs="仿宋"/>
          <w:sz w:val="24"/>
          <w:szCs w:val="24"/>
        </w:rPr>
        <w:t>17</w:t>
      </w:r>
      <w:r>
        <w:rPr>
          <w:rFonts w:hint="eastAsia" w:ascii="仿宋" w:hAnsi="仿宋" w:eastAsia="仿宋" w:cs="仿宋"/>
          <w:sz w:val="24"/>
          <w:szCs w:val="24"/>
        </w:rPr>
        <w:fldChar w:fldCharType="end"/>
      </w:r>
      <w:r>
        <w:rPr>
          <w:rFonts w:hint="eastAsia" w:ascii="仿宋" w:hAnsi="仿宋" w:eastAsia="仿宋" w:cs="仿宋"/>
          <w:bCs/>
          <w:sz w:val="24"/>
          <w:szCs w:val="24"/>
          <w:lang w:val="zh-CN"/>
        </w:rPr>
        <w:fldChar w:fldCharType="end"/>
      </w:r>
    </w:p>
    <w:p>
      <w:pPr>
        <w:keepNext w:val="0"/>
        <w:keepLines w:val="0"/>
        <w:pageBreakBefore w:val="0"/>
        <w:widowControl/>
        <w:kinsoku w:val="0"/>
        <w:wordWrap/>
        <w:overflowPunct/>
        <w:topLinePunct w:val="0"/>
        <w:autoSpaceDE w:val="0"/>
        <w:autoSpaceDN w:val="0"/>
        <w:bidi w:val="0"/>
        <w:adjustRightInd w:val="0"/>
        <w:snapToGrid w:val="0"/>
        <w:spacing w:before="0" w:after="0" w:line="480" w:lineRule="auto"/>
        <w:jc w:val="both"/>
        <w:textAlignment w:val="baseline"/>
        <w:rPr>
          <w:rFonts w:hint="eastAsia" w:ascii="仿宋" w:hAnsi="仿宋" w:eastAsia="仿宋" w:cs="仿宋"/>
          <w:color w:val="auto"/>
          <w:highlight w:val="none"/>
        </w:rPr>
      </w:pPr>
      <w:r>
        <w:rPr>
          <w:rFonts w:hint="eastAsia" w:ascii="仿宋" w:hAnsi="仿宋" w:eastAsia="仿宋" w:cs="仿宋"/>
          <w:bCs/>
          <w:sz w:val="24"/>
          <w:szCs w:val="24"/>
          <w:lang w:val="zh-CN"/>
        </w:rPr>
        <w:fldChar w:fldCharType="end"/>
      </w:r>
    </w:p>
    <w:p>
      <w:pPr>
        <w:keepNext w:val="0"/>
        <w:keepLines w:val="0"/>
        <w:pageBreakBefore w:val="0"/>
        <w:widowControl/>
        <w:kinsoku w:val="0"/>
        <w:wordWrap/>
        <w:overflowPunct/>
        <w:topLinePunct w:val="0"/>
        <w:autoSpaceDE w:val="0"/>
        <w:autoSpaceDN w:val="0"/>
        <w:bidi w:val="0"/>
        <w:adjustRightInd w:val="0"/>
        <w:snapToGrid w:val="0"/>
        <w:spacing w:before="0" w:after="0"/>
        <w:jc w:val="both"/>
        <w:textAlignment w:val="baseline"/>
        <w:outlineLvl w:val="9"/>
        <w:rPr>
          <w:rFonts w:hint="eastAsia" w:ascii="仿宋" w:hAnsi="仿宋" w:eastAsia="仿宋" w:cs="仿宋"/>
          <w:color w:val="auto"/>
          <w:spacing w:val="-2"/>
          <w:sz w:val="30"/>
          <w:szCs w:val="30"/>
          <w:highlight w:val="none"/>
          <w14:textOutline w14:w="5448" w14:cap="sq" w14:cmpd="sng">
            <w14:solidFill>
              <w14:srgbClr w14:val="000000"/>
            </w14:solidFill>
            <w14:prstDash w14:val="solid"/>
            <w14:bevel/>
          </w14:textOutline>
        </w:rPr>
      </w:pPr>
    </w:p>
    <w:p>
      <w:pPr>
        <w:keepNext w:val="0"/>
        <w:keepLines w:val="0"/>
        <w:pageBreakBefore w:val="0"/>
        <w:widowControl/>
        <w:kinsoku w:val="0"/>
        <w:wordWrap/>
        <w:overflowPunct/>
        <w:topLinePunct w:val="0"/>
        <w:autoSpaceDE w:val="0"/>
        <w:autoSpaceDN w:val="0"/>
        <w:bidi w:val="0"/>
        <w:adjustRightInd w:val="0"/>
        <w:snapToGrid w:val="0"/>
        <w:spacing w:before="0" w:after="0"/>
        <w:jc w:val="both"/>
        <w:textAlignment w:val="baseline"/>
        <w:rPr>
          <w:rFonts w:hint="eastAsia" w:ascii="仿宋" w:hAnsi="仿宋" w:eastAsia="仿宋" w:cs="仿宋"/>
          <w:color w:val="auto"/>
          <w:highlight w:val="none"/>
        </w:rPr>
      </w:pPr>
    </w:p>
    <w:p>
      <w:pPr>
        <w:keepNext w:val="0"/>
        <w:keepLines w:val="0"/>
        <w:pageBreakBefore w:val="0"/>
        <w:widowControl/>
        <w:kinsoku w:val="0"/>
        <w:wordWrap/>
        <w:overflowPunct/>
        <w:topLinePunct w:val="0"/>
        <w:autoSpaceDE w:val="0"/>
        <w:autoSpaceDN w:val="0"/>
        <w:bidi w:val="0"/>
        <w:adjustRightInd w:val="0"/>
        <w:snapToGrid w:val="0"/>
        <w:spacing w:before="0" w:after="0" w:line="500" w:lineRule="exact"/>
        <w:jc w:val="both"/>
        <w:textAlignment w:val="baseline"/>
        <w:rPr>
          <w:rFonts w:hint="eastAsia" w:ascii="仿宋" w:hAnsi="仿宋" w:eastAsia="仿宋" w:cs="仿宋"/>
          <w:color w:val="auto"/>
          <w:spacing w:val="-2"/>
          <w:sz w:val="36"/>
          <w:szCs w:val="36"/>
          <w:highlight w:val="none"/>
          <w:lang w:val="en-US" w:eastAsia="zh-CN"/>
          <w14:textOutline w14:w="5448" w14:cap="sq" w14:cmpd="sng">
            <w14:solidFill>
              <w14:srgbClr w14:val="000000"/>
            </w14:solidFill>
            <w14:prstDash w14:val="solid"/>
            <w14:bevel/>
          </w14:textOutline>
        </w:rPr>
        <w:sectPr>
          <w:headerReference r:id="rId8" w:type="default"/>
          <w:footerReference r:id="rId9" w:type="default"/>
          <w:pgSz w:w="11906" w:h="16838"/>
          <w:pgMar w:top="1003" w:right="1417" w:bottom="1003" w:left="1701" w:header="851" w:footer="992" w:gutter="0"/>
          <w:pgBorders>
            <w:top w:val="none" w:sz="0" w:space="0"/>
            <w:left w:val="none" w:sz="0" w:space="0"/>
            <w:bottom w:val="none" w:sz="0" w:space="0"/>
            <w:right w:val="none" w:sz="0" w:space="0"/>
          </w:pgBorders>
          <w:cols w:space="0" w:num="1"/>
          <w:rtlGutter w:val="0"/>
          <w:docGrid w:type="lines" w:linePitch="312" w:charSpace="0"/>
        </w:sectPr>
      </w:pPr>
    </w:p>
    <w:p>
      <w:pPr>
        <w:keepNext w:val="0"/>
        <w:keepLines w:val="0"/>
        <w:pageBreakBefore w:val="0"/>
        <w:widowControl/>
        <w:kinsoku w:val="0"/>
        <w:wordWrap/>
        <w:overflowPunct/>
        <w:topLinePunct w:val="0"/>
        <w:autoSpaceDE w:val="0"/>
        <w:autoSpaceDN w:val="0"/>
        <w:bidi w:val="0"/>
        <w:adjustRightInd w:val="0"/>
        <w:snapToGrid w:val="0"/>
        <w:spacing w:before="0" w:after="0" w:line="500" w:lineRule="exact"/>
        <w:jc w:val="both"/>
        <w:textAlignment w:val="baseline"/>
        <w:rPr>
          <w:rFonts w:hint="eastAsia" w:ascii="仿宋" w:hAnsi="仿宋" w:eastAsia="仿宋" w:cs="仿宋"/>
          <w:color w:val="auto"/>
          <w:spacing w:val="-2"/>
          <w:sz w:val="36"/>
          <w:szCs w:val="36"/>
          <w:highlight w:val="none"/>
          <w:lang w:val="en-US" w:eastAsia="zh-CN"/>
          <w14:textOutline w14:w="5448" w14:cap="sq" w14:cmpd="sng">
            <w14:solidFill>
              <w14:srgbClr w14:val="000000"/>
            </w14:solidFill>
            <w14:prstDash w14:val="solid"/>
            <w14:bevel/>
          </w14:textOutline>
        </w:rPr>
      </w:pPr>
    </w:p>
    <w:p>
      <w:pPr>
        <w:bidi w:val="0"/>
        <w:jc w:val="center"/>
        <w:rPr>
          <w:rFonts w:hint="default" w:ascii="仿宋" w:hAnsi="仿宋" w:eastAsia="仿宋" w:cs="仿宋"/>
          <w:b/>
          <w:bCs/>
          <w:sz w:val="36"/>
          <w:szCs w:val="36"/>
          <w:lang w:val="en-US" w:eastAsia="zh-CN"/>
        </w:rPr>
      </w:pPr>
      <w:r>
        <w:rPr>
          <w:rFonts w:hint="eastAsia" w:ascii="仿宋" w:hAnsi="仿宋" w:eastAsia="仿宋" w:cs="仿宋"/>
          <w:b/>
          <w:bCs/>
          <w:sz w:val="36"/>
          <w:szCs w:val="36"/>
          <w:lang w:val="en-US" w:eastAsia="zh-CN"/>
        </w:rPr>
        <w:t>麻阳苗族自治县2022年度农业保险资金</w:t>
      </w:r>
    </w:p>
    <w:p>
      <w:pPr>
        <w:bidi w:val="0"/>
        <w:jc w:val="center"/>
        <w:rPr>
          <w:rFonts w:hint="eastAsia" w:ascii="仿宋" w:hAnsi="仿宋" w:eastAsia="仿宋" w:cs="仿宋"/>
          <w:b/>
          <w:bCs/>
          <w:sz w:val="36"/>
          <w:szCs w:val="36"/>
          <w:lang w:val="en-US" w:eastAsia="zh-CN"/>
        </w:rPr>
      </w:pPr>
      <w:r>
        <w:rPr>
          <w:rFonts w:hint="eastAsia" w:ascii="仿宋" w:hAnsi="仿宋" w:eastAsia="仿宋" w:cs="仿宋"/>
          <w:b/>
          <w:bCs/>
          <w:sz w:val="36"/>
          <w:szCs w:val="36"/>
          <w:lang w:val="en-US" w:eastAsia="zh-CN"/>
        </w:rPr>
        <w:t>绩效评价报告</w:t>
      </w:r>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firstLine="600" w:firstLineChars="200"/>
        <w:jc w:val="both"/>
        <w:textAlignment w:val="baseline"/>
        <w:rPr>
          <w:rFonts w:hint="eastAsia" w:ascii="仿宋" w:hAnsi="仿宋" w:eastAsia="仿宋" w:cs="仿宋"/>
          <w:color w:val="auto"/>
          <w:sz w:val="30"/>
          <w:szCs w:val="30"/>
          <w:highlight w:val="none"/>
          <w:lang w:val="en-US" w:eastAsia="zh-CN"/>
        </w:rPr>
      </w:pPr>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both"/>
        <w:textAlignment w:val="baseline"/>
        <w:rPr>
          <w:rFonts w:hint="eastAsia"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为加强财政支出管理，提高财政资金使用效益，根据《预算    法》、《中共中央 国务院关于全面实施预算绩效管理的意见》（中发〔2018〕34号）、《中共湖南省委办公厅 湖南省人民政府办公厅 关于全面实施预算绩效管理的实施意见》（湘办发〔2019〕10号）、《财政部关于印发项目支出绩效评价管理办法的通知》（财预〔2020〕10号）、《湖南省预算支出绩效评价管理办法》(湘财绩〔2020〕7号)和《麻阳苗族自治县财政局关于开展2022年度财政预算支出重点项目绩效评价工作的通知》（麻财绩〔2023〕5号）等文件精神，湖南泰信会计师事务所有限公司受麻阳苗族自治县财政局的委托对麻阳苗族自治县2022年度农业保险资金实施绩效评价。项目实施单位对其提供的与本次评价相关的财务和其他资料的真实性和完整性负责。我们的责任是依据相关政策文件及项目单位提供的资料，对项目的决策、过程、产出及效果等方面进行绩效评价，并出具绩效评价报告。在绩效评价过程中,我们结合单位的实际情况,实施了包括检查会计记录、询问、实地考察、问卷调查等我们认为必要的程序。现将本次绩效评价情况报告如下:</w:t>
      </w:r>
    </w:p>
    <w:p>
      <w:pPr>
        <w:pStyle w:val="2"/>
        <w:widowControl w:val="0"/>
        <w:kinsoku/>
        <w:autoSpaceDE/>
        <w:autoSpaceDN/>
        <w:bidi w:val="0"/>
        <w:adjustRightInd/>
        <w:snapToGrid/>
        <w:spacing w:before="0" w:beforeLines="-2147483648" w:beforeAutospacing="0" w:after="0" w:afterLines="-2147483648" w:afterAutospacing="0" w:line="360" w:lineRule="auto"/>
        <w:ind w:firstLine="643" w:firstLineChars="200"/>
        <w:jc w:val="both"/>
        <w:textAlignment w:val="auto"/>
        <w:rPr>
          <w:rFonts w:hint="eastAsia" w:ascii="Calibri" w:hAnsi="Calibri" w:eastAsia="黑体" w:cs="Times New Roman"/>
          <w:bCs/>
          <w:snapToGrid/>
          <w:sz w:val="32"/>
          <w:szCs w:val="44"/>
          <w:lang w:val="en-US" w:eastAsia="zh-CN" w:bidi="ar-SA"/>
        </w:rPr>
      </w:pPr>
      <w:bookmarkStart w:id="0" w:name="_Toc15916"/>
      <w:r>
        <w:rPr>
          <w:rFonts w:hint="eastAsia" w:ascii="Calibri" w:hAnsi="Calibri" w:eastAsia="黑体" w:cs="Times New Roman"/>
          <w:bCs/>
          <w:snapToGrid/>
          <w:sz w:val="32"/>
          <w:szCs w:val="44"/>
          <w:lang w:val="en-US" w:eastAsia="zh-CN" w:bidi="ar-SA"/>
        </w:rPr>
        <w:t>一、项目基本情况</w:t>
      </w:r>
      <w:bookmarkEnd w:id="0"/>
    </w:p>
    <w:p>
      <w:pPr>
        <w:pStyle w:val="3"/>
        <w:keepNext/>
        <w:keepLines/>
        <w:pageBreakBefore w:val="0"/>
        <w:widowControl w:val="0"/>
        <w:kinsoku/>
        <w:wordWrap/>
        <w:overflowPunct/>
        <w:topLinePunct w:val="0"/>
        <w:autoSpaceDE/>
        <w:autoSpaceDN/>
        <w:bidi w:val="0"/>
        <w:adjustRightInd/>
        <w:snapToGrid/>
        <w:spacing w:before="0" w:beforeAutospacing="0" w:after="0" w:afterAutospacing="0" w:line="360" w:lineRule="auto"/>
        <w:ind w:firstLine="643" w:firstLineChars="200"/>
        <w:jc w:val="both"/>
        <w:textAlignment w:val="auto"/>
        <w:outlineLvl w:val="1"/>
        <w:rPr>
          <w:rFonts w:hint="eastAsia" w:ascii="Cambria" w:hAnsi="Cambria" w:eastAsia="楷体_GB2312" w:cs="Times New Roman"/>
          <w:bCs/>
          <w:snapToGrid/>
          <w:kern w:val="2"/>
          <w:sz w:val="32"/>
          <w:szCs w:val="32"/>
          <w:lang w:val="en-US" w:eastAsia="zh-CN" w:bidi="ar-SA"/>
        </w:rPr>
      </w:pPr>
      <w:bookmarkStart w:id="1" w:name="_Toc20893"/>
      <w:r>
        <w:rPr>
          <w:rFonts w:hint="eastAsia" w:ascii="Cambria" w:hAnsi="Cambria" w:eastAsia="楷体_GB2312" w:cs="Times New Roman"/>
          <w:bCs/>
          <w:snapToGrid/>
          <w:kern w:val="2"/>
          <w:sz w:val="32"/>
          <w:szCs w:val="32"/>
          <w:lang w:val="en-US" w:eastAsia="zh-CN" w:bidi="ar-SA"/>
        </w:rPr>
        <w:t>（一） 项目概况</w:t>
      </w:r>
      <w:bookmarkEnd w:id="1"/>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both"/>
        <w:textAlignment w:val="baseline"/>
        <w:rPr>
          <w:rFonts w:hint="eastAsia"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1、立项背景</w:t>
      </w:r>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both"/>
        <w:textAlignment w:val="baseline"/>
        <w:rPr>
          <w:rFonts w:hint="default" w:ascii="仿宋" w:hAnsi="仿宋" w:eastAsia="仿宋" w:cs="仿宋"/>
          <w:color w:val="auto"/>
          <w:sz w:val="30"/>
          <w:szCs w:val="30"/>
          <w:highlight w:val="none"/>
          <w:lang w:val="en-US" w:eastAsia="zh-CN"/>
        </w:rPr>
      </w:pPr>
      <w:r>
        <w:rPr>
          <w:rFonts w:hint="default" w:ascii="仿宋" w:hAnsi="仿宋" w:eastAsia="仿宋" w:cs="仿宋"/>
          <w:color w:val="auto"/>
          <w:sz w:val="30"/>
          <w:szCs w:val="30"/>
          <w:highlight w:val="none"/>
          <w:lang w:val="en-US" w:eastAsia="zh-CN"/>
        </w:rPr>
        <w:t>2012年11月12日中华人民共和国国务院令第629号公布</w:t>
      </w:r>
      <w:r>
        <w:rPr>
          <w:rFonts w:hint="eastAsia" w:ascii="仿宋" w:hAnsi="仿宋" w:eastAsia="仿宋" w:cs="仿宋"/>
          <w:color w:val="auto"/>
          <w:sz w:val="30"/>
          <w:szCs w:val="30"/>
          <w:highlight w:val="none"/>
          <w:lang w:val="en-US" w:eastAsia="zh-CN"/>
        </w:rPr>
        <w:t>《农业保险条例》，《农业保险条例》自2013年3月1日正式实施。《农业保险条例》</w:t>
      </w:r>
      <w:r>
        <w:rPr>
          <w:rFonts w:hint="default" w:ascii="仿宋" w:hAnsi="仿宋" w:eastAsia="仿宋" w:cs="仿宋"/>
          <w:color w:val="auto"/>
          <w:sz w:val="30"/>
          <w:szCs w:val="30"/>
          <w:highlight w:val="none"/>
          <w:lang w:val="en-US" w:eastAsia="zh-CN"/>
        </w:rPr>
        <w:t>第七条</w:t>
      </w:r>
      <w:r>
        <w:rPr>
          <w:rFonts w:hint="eastAsia" w:ascii="仿宋" w:hAnsi="仿宋" w:eastAsia="仿宋" w:cs="仿宋"/>
          <w:color w:val="auto"/>
          <w:sz w:val="30"/>
          <w:szCs w:val="30"/>
          <w:highlight w:val="none"/>
          <w:lang w:val="en-US" w:eastAsia="zh-CN"/>
        </w:rPr>
        <w:t>规定：</w:t>
      </w:r>
      <w:r>
        <w:rPr>
          <w:rFonts w:hint="default" w:ascii="仿宋" w:hAnsi="仿宋" w:eastAsia="仿宋" w:cs="仿宋"/>
          <w:color w:val="auto"/>
          <w:sz w:val="30"/>
          <w:szCs w:val="30"/>
          <w:highlight w:val="none"/>
          <w:lang w:val="en-US" w:eastAsia="zh-CN"/>
        </w:rPr>
        <w:t>农民或者农业生产经营组织投保的农业保险标的属于财政给予保险费补贴范围的，由财政部门按照规定给予保险费补贴，具体办法由国务院财政部门商国务院农业、林业主管部门和保险监督管理机构制定</w:t>
      </w:r>
      <w:r>
        <w:rPr>
          <w:rFonts w:hint="eastAsia" w:ascii="仿宋" w:hAnsi="仿宋" w:eastAsia="仿宋" w:cs="仿宋"/>
          <w:color w:val="auto"/>
          <w:sz w:val="30"/>
          <w:szCs w:val="30"/>
          <w:highlight w:val="none"/>
          <w:lang w:val="en-US" w:eastAsia="zh-CN"/>
        </w:rPr>
        <w:t>；</w:t>
      </w:r>
      <w:r>
        <w:rPr>
          <w:rFonts w:hint="default" w:ascii="仿宋" w:hAnsi="仿宋" w:eastAsia="仿宋" w:cs="仿宋"/>
          <w:color w:val="auto"/>
          <w:sz w:val="30"/>
          <w:szCs w:val="30"/>
          <w:highlight w:val="none"/>
          <w:lang w:val="en-US" w:eastAsia="zh-CN"/>
        </w:rPr>
        <w:t>国家鼓励地方人民政府采取由地方财政给予保险费补贴等措施，支持发展农业保险。</w:t>
      </w:r>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both"/>
        <w:textAlignment w:val="baseline"/>
        <w:rPr>
          <w:rFonts w:hint="default"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2016年12月9日，财政部印发《中央财政农业保险费补贴管理办法》（财金〔2016〕123号）；2017年12月27日，湖南省财政厅根据《中央财政农业保险费补贴管理办法》印发《湖南省财政农业保险保费补贴管理办法》（湘财金〔2017〕24号），对中央补贴险种标的及保费补贴政策、省补贴险种标的及保费补贴政策等作出了详细的规定。</w:t>
      </w:r>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both"/>
        <w:textAlignment w:val="baseline"/>
        <w:rPr>
          <w:rFonts w:hint="eastAsia" w:ascii="宋体" w:hAnsi="宋体" w:eastAsia="宋体" w:cs="宋体"/>
          <w:i w:val="0"/>
          <w:iCs w:val="0"/>
          <w:caps w:val="0"/>
          <w:color w:val="333333"/>
          <w:spacing w:val="0"/>
          <w:sz w:val="28"/>
          <w:szCs w:val="28"/>
          <w:shd w:val="clear" w:color="auto" w:fill="FFFFFF"/>
          <w:lang w:val="en-US" w:eastAsia="zh-CN"/>
        </w:rPr>
      </w:pPr>
      <w:r>
        <w:rPr>
          <w:rFonts w:hint="eastAsia" w:ascii="仿宋" w:hAnsi="仿宋" w:eastAsia="仿宋" w:cs="仿宋"/>
          <w:color w:val="auto"/>
          <w:sz w:val="30"/>
          <w:szCs w:val="30"/>
          <w:highlight w:val="none"/>
          <w:lang w:val="en-US" w:eastAsia="zh-CN"/>
        </w:rPr>
        <w:t>2022年6月29日，麻阳苗族自治县人民政府办公室根据《湖南省财政厅关于2022年农业保险省级财政保费补贴预算的批复》（湘财金〔2022〕15号）印发《麻阳苗族自治县人民政府办公室关于印发&lt;麻阳苗族自治县2022年农业保险实施方案&gt;的通知》（麻政办函〔2022〕16号），对麻阳苗族自治县2022年度中央补贴险种标的及保费补贴政策、省补贴险种标的及保费补贴政策、县补贴险种标的及保费补贴政策作出了详细规定。</w:t>
      </w:r>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both"/>
        <w:textAlignment w:val="baseline"/>
        <w:rPr>
          <w:rFonts w:hint="eastAsia"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2、项目实施单位基本情况</w:t>
      </w:r>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both"/>
        <w:textAlignment w:val="baseline"/>
        <w:rPr>
          <w:rFonts w:hint="default"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2022年农业保险资金由麻阳苗族自治县财政局、中国人民财产保险股份有限公司麻阳支公司、中华联合财产保险股份有限公司麻阳县支公司、中国太平洋财产保险股份有限公司麻阳支公司实施。</w:t>
      </w:r>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both"/>
        <w:textAlignment w:val="baseline"/>
        <w:rPr>
          <w:rFonts w:hint="eastAsia"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3、项目情况</w:t>
      </w:r>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both"/>
        <w:textAlignment w:val="baseline"/>
        <w:rPr>
          <w:rFonts w:hint="default"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《麻阳苗族自治县2022年农业保险实施方案》对2022年度的农业保险资金的安排如下：</w:t>
      </w:r>
    </w:p>
    <w:p>
      <w:pPr>
        <w:keepNext w:val="0"/>
        <w:keepLines w:val="0"/>
        <w:pageBreakBefore w:val="0"/>
        <w:widowControl w:val="0"/>
        <w:kinsoku w:val="0"/>
        <w:wordWrap/>
        <w:overflowPunct/>
        <w:topLinePunct w:val="0"/>
        <w:autoSpaceDE w:val="0"/>
        <w:autoSpaceDN w:val="0"/>
        <w:bidi w:val="0"/>
        <w:adjustRightInd w:val="0"/>
        <w:snapToGrid w:val="0"/>
        <w:spacing w:before="0" w:after="0" w:line="540" w:lineRule="exact"/>
        <w:ind w:left="23" w:firstLine="561"/>
        <w:jc w:val="both"/>
        <w:textAlignment w:val="baseline"/>
        <w:rPr>
          <w:rFonts w:hint="eastAsia" w:ascii="仿宋" w:hAnsi="仿宋" w:eastAsia="仿宋" w:cs="仿宋"/>
          <w:color w:val="auto"/>
          <w:sz w:val="30"/>
          <w:szCs w:val="30"/>
          <w:highlight w:val="none"/>
          <w:lang w:val="en-US" w:eastAsia="zh-CN"/>
        </w:rPr>
      </w:pPr>
      <w:bookmarkStart w:id="2" w:name="_Toc32159"/>
      <w:r>
        <w:rPr>
          <w:rFonts w:hint="eastAsia" w:ascii="仿宋" w:hAnsi="仿宋" w:eastAsia="仿宋" w:cs="仿宋"/>
          <w:color w:val="auto"/>
          <w:sz w:val="30"/>
          <w:szCs w:val="30"/>
          <w:highlight w:val="none"/>
          <w:lang w:val="en-US" w:eastAsia="zh-CN"/>
        </w:rPr>
        <w:t>（1）2022年开展水稻、油菜、公益林、商品林、能繁母猪、育肥猪、柑橘等七类中央、省补贴农业保险以及黄桃（桃类）、肉鸡两类县级特色农业保险品种。</w:t>
      </w:r>
    </w:p>
    <w:p>
      <w:pPr>
        <w:keepNext w:val="0"/>
        <w:keepLines w:val="0"/>
        <w:pageBreakBefore w:val="0"/>
        <w:widowControl w:val="0"/>
        <w:kinsoku w:val="0"/>
        <w:wordWrap/>
        <w:overflowPunct/>
        <w:topLinePunct w:val="0"/>
        <w:autoSpaceDE w:val="0"/>
        <w:autoSpaceDN w:val="0"/>
        <w:bidi w:val="0"/>
        <w:adjustRightInd w:val="0"/>
        <w:snapToGrid w:val="0"/>
        <w:spacing w:before="0" w:after="0" w:line="540" w:lineRule="exact"/>
        <w:ind w:left="23" w:firstLine="561"/>
        <w:jc w:val="both"/>
        <w:textAlignment w:val="baseline"/>
        <w:rPr>
          <w:rFonts w:hint="default"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2）承保机构遵循“分类承保、一定三年、违规退出、稳定推进”的原则，按照《关于公开竞争性遴选政策性农业保险承保机构的知道意见》通过公开竞争性遴选，确定2022年种植类保险、养殖类保险、林业保险、特色农业保险四大类保险品种承保机构。遴选的承保机构为中国人民财产保险公司、中华联合财政保险公司、太平洋财产保险公司。</w:t>
      </w:r>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both"/>
        <w:textAlignment w:val="baseline"/>
        <w:rPr>
          <w:rFonts w:hint="eastAsia"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（3）中央、省保费补贴比例</w:t>
      </w:r>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both"/>
        <w:textAlignment w:val="baseline"/>
        <w:rPr>
          <w:rFonts w:hint="eastAsia"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水稻保险金额为500元/亩,费率4%，即每亩收取保费20元;保费由中央、省级财政负担70%,市财政负担3%,县财政负担27%。</w:t>
      </w:r>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both"/>
        <w:textAlignment w:val="baseline"/>
        <w:rPr>
          <w:rFonts w:hint="eastAsia"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油菜保险金额为300元/亩，费率3%，即每亩收取保费9元；保费由中央、省财政负担70%，县财政负担30%。</w:t>
      </w:r>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both"/>
        <w:textAlignment w:val="baseline"/>
        <w:rPr>
          <w:rFonts w:hint="eastAsia"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育肥猪保险金额为800元/头，费率5%，即每头收取保费40元；保费由中央、省财政负担75%，县财政负担10%，农户自缴15%。</w:t>
      </w:r>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both"/>
        <w:textAlignment w:val="baseline"/>
        <w:rPr>
          <w:rFonts w:hint="eastAsia"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能繁母猪保险金额为1500元/头，费率6%，即每头收取保费90元；保费由中央、省财政负担75%，县级财政负担10%，农户自缴15%。</w:t>
      </w:r>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both"/>
        <w:textAlignment w:val="baseline"/>
        <w:rPr>
          <w:rFonts w:hint="eastAsia"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公益林保险金额为600元/亩，费率2‰，即每亩收取保费1.2元；保费由中央、省财政负担75%，市级财政负担1%，县财政负担24%。</w:t>
      </w:r>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both"/>
        <w:textAlignment w:val="baseline"/>
        <w:rPr>
          <w:rFonts w:hint="eastAsia"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商品林保险金额为1000元/亩，费率2%，即每亩收取保费2元；保费由中央、省财政负担55%，市级财政负担5%，县级财政负担5%，林农自缴35%。</w:t>
      </w:r>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jc w:val="both"/>
        <w:textAlignment w:val="baseline"/>
        <w:rPr>
          <w:rFonts w:hint="eastAsia"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ab/>
      </w:r>
      <w:r>
        <w:rPr>
          <w:rFonts w:hint="eastAsia" w:ascii="仿宋" w:hAnsi="仿宋" w:eastAsia="仿宋" w:cs="仿宋"/>
          <w:color w:val="auto"/>
          <w:sz w:val="30"/>
          <w:szCs w:val="30"/>
          <w:highlight w:val="none"/>
          <w:lang w:val="en-US" w:eastAsia="zh-CN"/>
        </w:rPr>
        <w:t>柑橘保险金额为2000元/亩，费率1.2%，即每亩收取保费24元，保费由省级财政负担30%，县财政负担 20%，农户自缴 50%。</w:t>
      </w:r>
      <w:r>
        <w:rPr>
          <w:rFonts w:hint="eastAsia" w:ascii="仿宋" w:hAnsi="仿宋" w:eastAsia="仿宋" w:cs="仿宋"/>
          <w:color w:val="auto"/>
          <w:sz w:val="30"/>
          <w:szCs w:val="30"/>
          <w:highlight w:val="none"/>
          <w:lang w:val="en-US" w:eastAsia="zh-CN"/>
        </w:rPr>
        <w:tab/>
      </w:r>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both"/>
        <w:textAlignment w:val="baseline"/>
        <w:rPr>
          <w:rFonts w:hint="eastAsia"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（4）县级特色保费补贴比例</w:t>
      </w:r>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both"/>
        <w:textAlignment w:val="baseline"/>
        <w:rPr>
          <w:rFonts w:hint="eastAsia"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黄桃县级特色保险金额为2000元/亩，费率6%，即每亩收取保费120元,保费由县级负担20%,农户自缴80%。</w:t>
      </w:r>
    </w:p>
    <w:p>
      <w:pPr>
        <w:keepNext w:val="0"/>
        <w:keepLines w:val="0"/>
        <w:pageBreakBefore w:val="0"/>
        <w:widowControl w:val="0"/>
        <w:kinsoku w:val="0"/>
        <w:wordWrap/>
        <w:overflowPunct/>
        <w:topLinePunct w:val="0"/>
        <w:autoSpaceDE w:val="0"/>
        <w:autoSpaceDN w:val="0"/>
        <w:bidi w:val="0"/>
        <w:adjustRightInd w:val="0"/>
        <w:snapToGrid w:val="0"/>
        <w:spacing w:before="0" w:after="0" w:line="540" w:lineRule="exact"/>
        <w:ind w:left="23" w:firstLine="561"/>
        <w:jc w:val="both"/>
        <w:textAlignment w:val="baseline"/>
        <w:rPr>
          <w:rFonts w:hint="eastAsia"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肉鸡县级特色保险金额为12元/只，费率6%，即每只收取保费 0.6元;县财政负担20%，农户自缴80%。</w:t>
      </w:r>
    </w:p>
    <w:p>
      <w:pPr>
        <w:keepNext w:val="0"/>
        <w:keepLines w:val="0"/>
        <w:pageBreakBefore w:val="0"/>
        <w:widowControl/>
        <w:numPr>
          <w:ilvl w:val="0"/>
          <w:numId w:val="1"/>
        </w:numPr>
        <w:kinsoku w:val="0"/>
        <w:wordWrap/>
        <w:overflowPunct/>
        <w:topLinePunct w:val="0"/>
        <w:autoSpaceDE w:val="0"/>
        <w:autoSpaceDN w:val="0"/>
        <w:bidi w:val="0"/>
        <w:adjustRightInd w:val="0"/>
        <w:snapToGrid w:val="0"/>
        <w:spacing w:before="0" w:after="0" w:line="540" w:lineRule="exact"/>
        <w:ind w:left="22" w:firstLine="560"/>
        <w:jc w:val="both"/>
        <w:textAlignment w:val="baseline"/>
        <w:rPr>
          <w:rFonts w:hint="eastAsia"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各类险种的承保数量及承保比例</w:t>
      </w:r>
    </w:p>
    <w:p>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before="0" w:after="0" w:line="540" w:lineRule="exact"/>
        <w:ind w:firstLine="600" w:firstLineChars="200"/>
        <w:jc w:val="both"/>
        <w:textAlignment w:val="baseline"/>
        <w:rPr>
          <w:rFonts w:hint="eastAsia"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水稻种植：预计种植面积218000.00亩，计划承保154000亩，承保比例71%；</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0" w:after="0" w:line="540" w:lineRule="exact"/>
        <w:ind w:firstLine="600" w:firstLineChars="200"/>
        <w:jc w:val="both"/>
        <w:textAlignment w:val="baseline"/>
        <w:rPr>
          <w:rFonts w:hint="eastAsia"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油菜种植：预计种植面积115000亩，计划承保67500亩，承保比例59%；</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0" w:after="0" w:line="540" w:lineRule="exact"/>
        <w:ind w:left="582" w:leftChars="0"/>
        <w:jc w:val="both"/>
        <w:textAlignment w:val="baseline"/>
        <w:rPr>
          <w:rFonts w:hint="eastAsia"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公益林：预计面积733300亩，计划承保733300亩，承保比例100%；</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0" w:after="0" w:line="540" w:lineRule="exact"/>
        <w:ind w:left="582" w:leftChars="0"/>
        <w:jc w:val="both"/>
        <w:textAlignment w:val="baseline"/>
        <w:rPr>
          <w:rFonts w:hint="eastAsia"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商品林：预计面积867600亩，计划承保76000亩，承保比例88%；</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0" w:after="0" w:line="540" w:lineRule="exact"/>
        <w:ind w:left="582" w:leftChars="0"/>
        <w:jc w:val="both"/>
        <w:textAlignment w:val="baseline"/>
        <w:rPr>
          <w:rFonts w:hint="eastAsia"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柑橘：预计面积385000亩，计划承保110000亩，承保比例29%；</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0" w:after="0" w:line="540" w:lineRule="exact"/>
        <w:ind w:firstLine="600" w:firstLineChars="200"/>
        <w:jc w:val="both"/>
        <w:textAlignment w:val="baseline"/>
        <w:rPr>
          <w:rFonts w:hint="eastAsia"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能繁母猪养殖：预计养殖14000头，计划承保5400头，承保比例39%；</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0" w:after="0" w:line="540" w:lineRule="exact"/>
        <w:ind w:firstLine="600" w:firstLineChars="200"/>
        <w:jc w:val="both"/>
        <w:textAlignment w:val="baseline"/>
        <w:rPr>
          <w:rFonts w:hint="eastAsia"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育肥猪养殖：预计养殖300000头，计划承保50000头，承保比例17%；</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0" w:after="0" w:line="540" w:lineRule="exact"/>
        <w:ind w:firstLine="600" w:firstLineChars="200"/>
        <w:jc w:val="both"/>
        <w:textAlignment w:val="baseline"/>
        <w:rPr>
          <w:rFonts w:hint="eastAsia"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黄桃：预计种植30000亩，计划承保10000亩，承保比例33%；</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0" w:after="0" w:line="540" w:lineRule="exact"/>
        <w:ind w:firstLine="600" w:firstLineChars="200"/>
        <w:jc w:val="both"/>
        <w:textAlignment w:val="baseline"/>
        <w:rPr>
          <w:rFonts w:hint="default"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肉鸡：预计养殖5000000羽，计划承保1666668羽，承保比例33%。</w:t>
      </w:r>
    </w:p>
    <w:p>
      <w:pPr>
        <w:pStyle w:val="3"/>
        <w:keepNext/>
        <w:keepLines/>
        <w:pageBreakBefore w:val="0"/>
        <w:widowControl w:val="0"/>
        <w:kinsoku/>
        <w:wordWrap/>
        <w:overflowPunct/>
        <w:topLinePunct w:val="0"/>
        <w:autoSpaceDE/>
        <w:autoSpaceDN/>
        <w:bidi w:val="0"/>
        <w:adjustRightInd/>
        <w:snapToGrid/>
        <w:spacing w:before="0" w:beforeAutospacing="0" w:after="0" w:afterAutospacing="0" w:line="360" w:lineRule="auto"/>
        <w:ind w:firstLine="643" w:firstLineChars="200"/>
        <w:jc w:val="both"/>
        <w:textAlignment w:val="auto"/>
        <w:outlineLvl w:val="1"/>
        <w:rPr>
          <w:rFonts w:hint="default" w:ascii="Cambria" w:hAnsi="Cambria" w:eastAsia="楷体_GB2312" w:cs="Times New Roman"/>
          <w:bCs/>
          <w:snapToGrid/>
          <w:kern w:val="2"/>
          <w:sz w:val="32"/>
          <w:szCs w:val="32"/>
          <w:lang w:val="en-US" w:eastAsia="zh-CN" w:bidi="ar-SA"/>
        </w:rPr>
      </w:pPr>
      <w:r>
        <w:rPr>
          <w:rFonts w:hint="eastAsia" w:ascii="Cambria" w:hAnsi="Cambria" w:eastAsia="楷体_GB2312" w:cs="Times New Roman"/>
          <w:bCs/>
          <w:snapToGrid/>
          <w:kern w:val="2"/>
          <w:sz w:val="32"/>
          <w:szCs w:val="32"/>
          <w:lang w:val="en-US" w:eastAsia="zh-CN" w:bidi="ar-SA"/>
        </w:rPr>
        <w:t>（二）项目资金的基本情况</w:t>
      </w:r>
      <w:bookmarkEnd w:id="2"/>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both"/>
        <w:textAlignment w:val="baseline"/>
        <w:rPr>
          <w:rFonts w:hint="eastAsia"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1、项目资金的安排情况</w:t>
      </w:r>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both"/>
        <w:textAlignment w:val="baseline"/>
        <w:rPr>
          <w:rFonts w:hint="eastAsia"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根据《麻阳苗族自治县2022年农业保险实施方案情况明细表》，2022年度农业保险资金预算金额为942.86万元，其中中央、省资金673.37万元、市级资金17.72万元、县级资金251.77万元，其中：</w:t>
      </w:r>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both"/>
        <w:textAlignment w:val="baseline"/>
        <w:rPr>
          <w:rFonts w:hint="eastAsia"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水稻保险308.00万元，油菜保险60.75万元，能繁母猪保险41.31万元，育肥猪保险170.00万元，公益林保险88.00万元，商品林保险98.80万元，柑橘保险132.00万元，黄桃保险24.00万元、肉鸡保险20.00万元。</w:t>
      </w:r>
    </w:p>
    <w:p>
      <w:pPr>
        <w:keepNext w:val="0"/>
        <w:keepLines w:val="0"/>
        <w:pageBreakBefore w:val="0"/>
        <w:widowControl w:val="0"/>
        <w:kinsoku w:val="0"/>
        <w:wordWrap/>
        <w:overflowPunct/>
        <w:topLinePunct w:val="0"/>
        <w:autoSpaceDE w:val="0"/>
        <w:autoSpaceDN w:val="0"/>
        <w:bidi w:val="0"/>
        <w:adjustRightInd w:val="0"/>
        <w:snapToGrid w:val="0"/>
        <w:spacing w:before="0" w:after="0" w:line="540" w:lineRule="exact"/>
        <w:ind w:left="23" w:firstLine="561"/>
        <w:jc w:val="both"/>
        <w:textAlignment w:val="baseline"/>
        <w:rPr>
          <w:rFonts w:hint="eastAsia"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由于水稻等的实际种植面积、公益林存量未达预计，油菜实际种植面积超过预期，2022年度农业保险资金预算调整为902.31万元，其中：</w:t>
      </w:r>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both"/>
        <w:textAlignment w:val="baseline"/>
        <w:rPr>
          <w:rFonts w:hint="eastAsia"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水稻保险273.64万元、油菜保险95.11万元、能繁母猪保险21.61万元、育肥猪保险149.24万元、公益林保险87.91万元、商品林98.80万元、柑橘保险132.00万元、黄桃保险24.00万元、肉鸡保险20.00万元。</w:t>
      </w:r>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both"/>
        <w:textAlignment w:val="baseline"/>
        <w:rPr>
          <w:rFonts w:hint="eastAsia"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2、项目资金的收入情况</w:t>
      </w:r>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both"/>
        <w:textAlignment w:val="baseline"/>
        <w:rPr>
          <w:rFonts w:hint="default"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2022年农业保险资金实际收入902.31万元。</w:t>
      </w:r>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both"/>
        <w:textAlignment w:val="baseline"/>
        <w:rPr>
          <w:rFonts w:hint="eastAsia"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3、项目资金的支付情况</w:t>
      </w:r>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both"/>
        <w:textAlignment w:val="baseline"/>
        <w:rPr>
          <w:rFonts w:hint="eastAsia"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2022年实际支付中国人民财产保险股份有限公司麻阳支公司农业保险资金401.65万元（不含投保户自缴），其中中央/省财政补贴313.76万元、市财政补贴76.00万元、县财政补贴80.29万元。</w:t>
      </w:r>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both"/>
        <w:textAlignment w:val="baseline"/>
        <w:rPr>
          <w:rFonts w:hint="eastAsia"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2022年实际支出中华联合财产保险股份有限公司麻阳县支公司农业保险资金4,80.66万元（不含投保户自缴），其中中央/省财政补贴324.06元、市财政补贴9.09万元、县财政补贴147.51万元。</w:t>
      </w:r>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both"/>
        <w:textAlignment w:val="baseline"/>
        <w:rPr>
          <w:rFonts w:hint="default"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2022年实际支付中国太平洋财产保险股份有限公司麻阳支公司农业保险资金20.00万元（不含投保户自缴），其中县财政补贴20.00万元。</w:t>
      </w:r>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both"/>
        <w:textAlignment w:val="baseline"/>
        <w:rPr>
          <w:rFonts w:hint="eastAsia"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4、项目资金的结余情况</w:t>
      </w:r>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both"/>
        <w:textAlignment w:val="baseline"/>
        <w:rPr>
          <w:rFonts w:hint="default"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2022年农业保险资金收入902.31万元，实际支出902.31万元，2022年农业保险资金无结余。</w:t>
      </w:r>
    </w:p>
    <w:p>
      <w:pPr>
        <w:pStyle w:val="3"/>
        <w:keepNext/>
        <w:keepLines/>
        <w:pageBreakBefore w:val="0"/>
        <w:widowControl w:val="0"/>
        <w:kinsoku/>
        <w:wordWrap/>
        <w:overflowPunct/>
        <w:topLinePunct w:val="0"/>
        <w:autoSpaceDE/>
        <w:autoSpaceDN/>
        <w:bidi w:val="0"/>
        <w:adjustRightInd/>
        <w:snapToGrid/>
        <w:spacing w:before="0" w:beforeAutospacing="0" w:after="0" w:afterAutospacing="0" w:line="360" w:lineRule="auto"/>
        <w:ind w:firstLine="643" w:firstLineChars="200"/>
        <w:jc w:val="both"/>
        <w:textAlignment w:val="auto"/>
        <w:outlineLvl w:val="1"/>
        <w:rPr>
          <w:rFonts w:hint="eastAsia" w:ascii="Cambria" w:hAnsi="Cambria" w:eastAsia="楷体_GB2312" w:cs="Times New Roman"/>
          <w:bCs/>
          <w:snapToGrid/>
          <w:kern w:val="2"/>
          <w:sz w:val="32"/>
          <w:szCs w:val="32"/>
          <w:lang w:val="en-US" w:eastAsia="zh-CN" w:bidi="ar-SA"/>
        </w:rPr>
      </w:pPr>
      <w:bookmarkStart w:id="3" w:name="_Toc4487"/>
      <w:r>
        <w:rPr>
          <w:rFonts w:hint="eastAsia" w:ascii="Cambria" w:hAnsi="Cambria" w:eastAsia="楷体_GB2312" w:cs="Times New Roman"/>
          <w:bCs/>
          <w:snapToGrid/>
          <w:kern w:val="2"/>
          <w:sz w:val="32"/>
          <w:szCs w:val="32"/>
          <w:lang w:val="en-US" w:eastAsia="zh-CN" w:bidi="ar-SA"/>
        </w:rPr>
        <w:t>（三） 项目绩效目标和绩效指标</w:t>
      </w:r>
      <w:bookmarkEnd w:id="3"/>
    </w:p>
    <w:p>
      <w:pPr>
        <w:keepNext w:val="0"/>
        <w:keepLines w:val="0"/>
        <w:pageBreakBefore w:val="0"/>
        <w:widowControl w:val="0"/>
        <w:kinsoku w:val="0"/>
        <w:wordWrap/>
        <w:overflowPunct/>
        <w:topLinePunct w:val="0"/>
        <w:autoSpaceDE w:val="0"/>
        <w:autoSpaceDN w:val="0"/>
        <w:bidi w:val="0"/>
        <w:adjustRightInd w:val="0"/>
        <w:snapToGrid w:val="0"/>
        <w:spacing w:before="0" w:after="0" w:line="540" w:lineRule="exact"/>
        <w:ind w:left="23" w:firstLine="561"/>
        <w:jc w:val="both"/>
        <w:textAlignment w:val="baseline"/>
        <w:rPr>
          <w:rFonts w:hint="default"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麻阳苗族自治县财政局、中国人民财产保险股份有限公司麻阳支公司、中华联合财产保险股份有限公司麻阳县支公司、中国太平洋财产保险股份有限公司麻阳支公司都设置了依据充分，符合客观实际绩效目标，清晰、细化可衡量的绩效指标。绩效评价小组根据麻阳苗族自治县财政局和三家保险公司的绩效指标，标识了用于本次绩效评价的产出指标和效果指标，明细情况详附件2.</w:t>
      </w:r>
    </w:p>
    <w:p>
      <w:pPr>
        <w:pStyle w:val="2"/>
        <w:widowControl w:val="0"/>
        <w:kinsoku/>
        <w:autoSpaceDE/>
        <w:autoSpaceDN/>
        <w:bidi w:val="0"/>
        <w:adjustRightInd/>
        <w:snapToGrid/>
        <w:spacing w:before="0" w:beforeLines="-2147483648" w:beforeAutospacing="0" w:after="0" w:afterLines="-2147483648" w:afterAutospacing="0" w:line="360" w:lineRule="auto"/>
        <w:ind w:firstLine="643" w:firstLineChars="200"/>
        <w:jc w:val="both"/>
        <w:textAlignment w:val="auto"/>
        <w:rPr>
          <w:rFonts w:hint="eastAsia" w:ascii="Calibri" w:hAnsi="Calibri" w:eastAsia="黑体" w:cs="Times New Roman"/>
          <w:bCs/>
          <w:snapToGrid/>
          <w:sz w:val="32"/>
          <w:szCs w:val="44"/>
          <w:lang w:val="en-US" w:eastAsia="zh-CN" w:bidi="ar-SA"/>
        </w:rPr>
      </w:pPr>
      <w:bookmarkStart w:id="4" w:name="_Toc27958"/>
      <w:r>
        <w:rPr>
          <w:rFonts w:hint="eastAsia" w:ascii="Calibri" w:hAnsi="Calibri" w:eastAsia="黑体" w:cs="Times New Roman"/>
          <w:bCs/>
          <w:snapToGrid/>
          <w:sz w:val="32"/>
          <w:szCs w:val="44"/>
          <w:lang w:val="en-US" w:eastAsia="zh-CN" w:bidi="ar-SA"/>
        </w:rPr>
        <w:t>二、绩效评价工作情况</w:t>
      </w:r>
      <w:bookmarkEnd w:id="4"/>
    </w:p>
    <w:p>
      <w:pPr>
        <w:pStyle w:val="3"/>
        <w:keepNext/>
        <w:keepLines/>
        <w:pageBreakBefore w:val="0"/>
        <w:widowControl w:val="0"/>
        <w:kinsoku/>
        <w:wordWrap/>
        <w:overflowPunct/>
        <w:topLinePunct w:val="0"/>
        <w:autoSpaceDE/>
        <w:autoSpaceDN/>
        <w:bidi w:val="0"/>
        <w:adjustRightInd/>
        <w:snapToGrid/>
        <w:spacing w:before="0" w:beforeAutospacing="0" w:after="0" w:afterAutospacing="0" w:line="360" w:lineRule="auto"/>
        <w:ind w:firstLine="643" w:firstLineChars="200"/>
        <w:jc w:val="both"/>
        <w:textAlignment w:val="auto"/>
        <w:outlineLvl w:val="1"/>
        <w:rPr>
          <w:rFonts w:hint="eastAsia" w:ascii="Cambria" w:hAnsi="Cambria" w:eastAsia="楷体_GB2312" w:cs="Times New Roman"/>
          <w:bCs/>
          <w:snapToGrid/>
          <w:kern w:val="2"/>
          <w:sz w:val="32"/>
          <w:szCs w:val="32"/>
          <w:lang w:val="en-US" w:eastAsia="zh-CN" w:bidi="ar-SA"/>
        </w:rPr>
      </w:pPr>
      <w:bookmarkStart w:id="5" w:name="_Toc13927"/>
      <w:r>
        <w:rPr>
          <w:rFonts w:hint="eastAsia" w:ascii="Cambria" w:hAnsi="Cambria" w:eastAsia="楷体_GB2312" w:cs="Times New Roman"/>
          <w:bCs/>
          <w:snapToGrid/>
          <w:kern w:val="2"/>
          <w:sz w:val="32"/>
          <w:szCs w:val="32"/>
          <w:lang w:val="en-US" w:eastAsia="zh-CN" w:bidi="ar-SA"/>
        </w:rPr>
        <w:t>（一）绩效评价目的</w:t>
      </w:r>
      <w:bookmarkEnd w:id="5"/>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both"/>
        <w:textAlignment w:val="baseline"/>
        <w:rPr>
          <w:rFonts w:hint="eastAsia" w:ascii="仿宋" w:hAnsi="仿宋" w:eastAsia="仿宋" w:cs="仿宋"/>
          <w:color w:val="auto"/>
          <w:sz w:val="30"/>
          <w:szCs w:val="30"/>
          <w:highlight w:val="none"/>
          <w:lang w:val="en-US" w:eastAsia="zh-CN"/>
        </w:rPr>
      </w:pPr>
      <w:bookmarkStart w:id="6" w:name="_bookmark7"/>
      <w:bookmarkEnd w:id="6"/>
      <w:r>
        <w:rPr>
          <w:rFonts w:hint="eastAsia" w:ascii="仿宋" w:hAnsi="仿宋" w:eastAsia="仿宋" w:cs="仿宋"/>
          <w:color w:val="auto"/>
          <w:sz w:val="30"/>
          <w:szCs w:val="30"/>
          <w:highlight w:val="none"/>
          <w:lang w:val="en-US" w:eastAsia="zh-CN"/>
        </w:rPr>
        <w:t>通过开展麻阳苗族自治县2022年农业保险资金绩效评价，全面掌握2022年农业保险资金的使用情况和取得的效果，进一步规范和加强农业保险资金的管理，提高资金使用效益：</w:t>
      </w:r>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both"/>
        <w:textAlignment w:val="baseline"/>
        <w:rPr>
          <w:rFonts w:hint="default"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分析农业保险资金的投入和执行情况，分析项目投入管理和财务管理水平，进一步剖析资金使用的安全性和规范性；</w:t>
      </w:r>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both"/>
        <w:textAlignment w:val="baseline"/>
        <w:rPr>
          <w:rFonts w:hint="eastAsia"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通过对项目实施过程中的管理措施进行评价，包括项目评审、执行、验收等是否严格按照各项制度执行，分析其有效性；</w:t>
      </w:r>
    </w:p>
    <w:p>
      <w:pPr>
        <w:keepNext w:val="0"/>
        <w:keepLines w:val="0"/>
        <w:pageBreakBefore w:val="0"/>
        <w:widowControl w:val="0"/>
        <w:kinsoku w:val="0"/>
        <w:wordWrap/>
        <w:overflowPunct/>
        <w:topLinePunct w:val="0"/>
        <w:autoSpaceDE w:val="0"/>
        <w:autoSpaceDN w:val="0"/>
        <w:bidi w:val="0"/>
        <w:adjustRightInd w:val="0"/>
        <w:snapToGrid w:val="0"/>
        <w:spacing w:before="0" w:after="0" w:line="540" w:lineRule="exact"/>
        <w:ind w:left="23" w:firstLine="561"/>
        <w:jc w:val="both"/>
        <w:textAlignment w:val="baseline"/>
        <w:rPr>
          <w:rFonts w:hint="default"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分析资金使用的经济性和效率性，重点关注资金使用的聚焦度，为项目后续的资金支出管理提出改进建议。</w:t>
      </w:r>
    </w:p>
    <w:p>
      <w:pPr>
        <w:pStyle w:val="3"/>
        <w:keepNext/>
        <w:keepLines/>
        <w:pageBreakBefore w:val="0"/>
        <w:widowControl w:val="0"/>
        <w:kinsoku/>
        <w:wordWrap/>
        <w:overflowPunct/>
        <w:topLinePunct w:val="0"/>
        <w:autoSpaceDE/>
        <w:autoSpaceDN/>
        <w:bidi w:val="0"/>
        <w:adjustRightInd/>
        <w:snapToGrid/>
        <w:spacing w:before="0" w:beforeAutospacing="0" w:after="0" w:afterAutospacing="0" w:line="360" w:lineRule="auto"/>
        <w:ind w:firstLine="643" w:firstLineChars="200"/>
        <w:jc w:val="both"/>
        <w:textAlignment w:val="auto"/>
        <w:outlineLvl w:val="1"/>
        <w:rPr>
          <w:rFonts w:hint="eastAsia" w:ascii="Cambria" w:hAnsi="Cambria" w:eastAsia="楷体_GB2312" w:cs="Times New Roman"/>
          <w:bCs/>
          <w:snapToGrid/>
          <w:kern w:val="2"/>
          <w:sz w:val="32"/>
          <w:szCs w:val="32"/>
          <w:lang w:val="en-US" w:eastAsia="zh-CN" w:bidi="ar-SA"/>
        </w:rPr>
      </w:pPr>
      <w:bookmarkStart w:id="7" w:name="_Toc7882"/>
      <w:r>
        <w:rPr>
          <w:rFonts w:hint="eastAsia" w:ascii="Cambria" w:hAnsi="Cambria" w:eastAsia="楷体_GB2312" w:cs="Times New Roman"/>
          <w:bCs/>
          <w:snapToGrid/>
          <w:kern w:val="2"/>
          <w:sz w:val="32"/>
          <w:szCs w:val="32"/>
          <w:lang w:val="en-US" w:eastAsia="zh-CN" w:bidi="ar-SA"/>
        </w:rPr>
        <w:t>（二） 绩效评价工作内容</w:t>
      </w:r>
      <w:bookmarkEnd w:id="7"/>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both"/>
        <w:textAlignment w:val="baseline"/>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1、编制绩效评价实施方案</w:t>
      </w:r>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3" w:firstLine="550"/>
        <w:jc w:val="both"/>
        <w:textAlignment w:val="baseline"/>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评价小组在完成绩效评价框架的基础上，与</w:t>
      </w:r>
      <w:r>
        <w:rPr>
          <w:rFonts w:hint="eastAsia" w:ascii="仿宋" w:hAnsi="仿宋" w:eastAsia="仿宋" w:cs="仿宋"/>
          <w:color w:val="auto"/>
          <w:sz w:val="30"/>
          <w:szCs w:val="30"/>
          <w:highlight w:val="none"/>
          <w:lang w:val="en-US" w:eastAsia="zh-CN"/>
        </w:rPr>
        <w:t>麻阳苗族自治县财政局、中国人民财产保险股份有限公司麻阳支公司、中华联合财产保险股份有限公司麻阳县支公司、中国太平洋财产保险股份有限公司麻阳支公司相关股室</w:t>
      </w:r>
      <w:r>
        <w:rPr>
          <w:rFonts w:hint="eastAsia" w:ascii="仿宋" w:hAnsi="仿宋" w:eastAsia="仿宋" w:cs="仿宋"/>
          <w:color w:val="auto"/>
          <w:sz w:val="30"/>
          <w:szCs w:val="30"/>
          <w:highlight w:val="none"/>
        </w:rPr>
        <w:t>对绩效评价相关事项进行讨论与研究，制定绩效评价方案。绩效评价方案包括绩效评价指标框架及评分标准、评分表填表说明、基础数据统计表、面访、绩效评价资料清单、绩效评</w:t>
      </w:r>
      <w:r>
        <w:rPr>
          <w:rFonts w:hint="eastAsia" w:ascii="仿宋" w:hAnsi="仿宋" w:eastAsia="仿宋" w:cs="仿宋"/>
          <w:color w:val="auto"/>
          <w:w w:val="99"/>
          <w:sz w:val="30"/>
          <w:szCs w:val="30"/>
          <w:highlight w:val="none"/>
        </w:rPr>
        <w:t>价人员安排。同时对评价小组工作计划、工作分配做了详细的安排</w:t>
      </w:r>
      <w:r>
        <w:rPr>
          <w:rFonts w:hint="eastAsia" w:ascii="仿宋" w:hAnsi="仿宋" w:eastAsia="仿宋" w:cs="仿宋"/>
          <w:color w:val="auto"/>
          <w:sz w:val="30"/>
          <w:szCs w:val="30"/>
          <w:highlight w:val="none"/>
        </w:rPr>
        <w:t>。</w:t>
      </w:r>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both"/>
        <w:textAlignment w:val="baseline"/>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2、组织实施绩效评价</w:t>
      </w:r>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3" w:firstLine="550"/>
        <w:jc w:val="both"/>
        <w:textAlignment w:val="baseline"/>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评价小组根据制定的绩效评价工作方案，前往</w:t>
      </w:r>
      <w:r>
        <w:rPr>
          <w:rFonts w:hint="eastAsia" w:ascii="仿宋" w:hAnsi="仿宋" w:eastAsia="仿宋" w:cs="仿宋"/>
          <w:color w:val="auto"/>
          <w:sz w:val="30"/>
          <w:szCs w:val="30"/>
          <w:highlight w:val="none"/>
          <w:lang w:val="en-US" w:eastAsia="zh-CN"/>
        </w:rPr>
        <w:t>麻阳苗族自治县财政局、中国人民财产保险股份有限公司麻阳支公司、中华联合财产保险股份有限公司麻阳县支公司、中国太平洋财产保险股份有限公司麻阳支公司</w:t>
      </w:r>
      <w:r>
        <w:rPr>
          <w:rFonts w:hint="eastAsia" w:ascii="仿宋" w:hAnsi="仿宋" w:eastAsia="仿宋" w:cs="仿宋"/>
          <w:color w:val="auto"/>
          <w:sz w:val="30"/>
          <w:szCs w:val="30"/>
          <w:highlight w:val="none"/>
        </w:rPr>
        <w:t>具体实施绩效评价，评价工作包括收集审核基础资料，在征求被评价单位的意见下，向相关人员了解项目情况，对项目相关工作人员及服务对象进行问卷调查。</w:t>
      </w:r>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both"/>
        <w:textAlignment w:val="baseline"/>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3、分析评价工作</w:t>
      </w:r>
    </w:p>
    <w:p>
      <w:pPr>
        <w:keepNext w:val="0"/>
        <w:keepLines w:val="0"/>
        <w:pageBreakBefore w:val="0"/>
        <w:widowControl w:val="0"/>
        <w:kinsoku w:val="0"/>
        <w:wordWrap/>
        <w:overflowPunct/>
        <w:topLinePunct w:val="0"/>
        <w:autoSpaceDE w:val="0"/>
        <w:autoSpaceDN w:val="0"/>
        <w:bidi w:val="0"/>
        <w:adjustRightInd w:val="0"/>
        <w:snapToGrid w:val="0"/>
        <w:spacing w:before="0" w:after="0" w:line="540" w:lineRule="exact"/>
        <w:ind w:left="23" w:firstLine="561"/>
        <w:jc w:val="both"/>
        <w:textAlignment w:val="baseline"/>
        <w:rPr>
          <w:rFonts w:hint="eastAsia" w:ascii="仿宋" w:hAnsi="仿宋" w:eastAsia="仿宋" w:cs="仿宋"/>
          <w:color w:val="auto"/>
          <w:sz w:val="30"/>
          <w:szCs w:val="30"/>
          <w:highlight w:val="none"/>
          <w:lang w:eastAsia="zh-CN"/>
        </w:rPr>
      </w:pPr>
      <w:r>
        <w:rPr>
          <w:rFonts w:hint="eastAsia" w:ascii="仿宋" w:hAnsi="仿宋" w:eastAsia="仿宋" w:cs="仿宋"/>
          <w:color w:val="auto"/>
          <w:sz w:val="30"/>
          <w:szCs w:val="30"/>
          <w:highlight w:val="none"/>
        </w:rPr>
        <w:t>经过对收集到的资料、调查问卷统计结果进行比对和交叉验证后，确定用于继续分析和评价的证据，采用变化分析，通过比较指标的实际情况与预期数据对应程度，初步确认评价结果。对初步确定的绩效评价结果进行逐级复核、汇总、分析，核查评价工作中是否存在重复和遗漏的情况</w:t>
      </w:r>
      <w:r>
        <w:rPr>
          <w:rFonts w:hint="eastAsia" w:ascii="仿宋" w:hAnsi="仿宋" w:eastAsia="仿宋" w:cs="仿宋"/>
          <w:color w:val="auto"/>
          <w:sz w:val="30"/>
          <w:szCs w:val="30"/>
          <w:highlight w:val="none"/>
          <w:lang w:eastAsia="zh-CN"/>
        </w:rPr>
        <w:t>。</w:t>
      </w:r>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both"/>
        <w:textAlignment w:val="baseline"/>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4、撰写评价报告</w:t>
      </w:r>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both"/>
        <w:textAlignment w:val="baseline"/>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评价小组运用科学方法对评价基础资料进行分析总结，将汇总资料反映在绩效评价报告中，并与</w:t>
      </w:r>
      <w:r>
        <w:rPr>
          <w:rFonts w:hint="eastAsia" w:ascii="仿宋" w:hAnsi="仿宋" w:eastAsia="仿宋" w:cs="仿宋"/>
          <w:color w:val="auto"/>
          <w:sz w:val="30"/>
          <w:szCs w:val="30"/>
          <w:highlight w:val="none"/>
          <w:lang w:val="en-US" w:eastAsia="zh-CN"/>
        </w:rPr>
        <w:t>麻阳苗族自治县财政局</w:t>
      </w:r>
      <w:r>
        <w:rPr>
          <w:rFonts w:hint="eastAsia" w:ascii="仿宋" w:hAnsi="仿宋" w:eastAsia="仿宋" w:cs="仿宋"/>
          <w:color w:val="auto"/>
          <w:sz w:val="30"/>
          <w:szCs w:val="30"/>
          <w:highlight w:val="none"/>
        </w:rPr>
        <w:t>反馈沟</w:t>
      </w:r>
      <w:r>
        <w:rPr>
          <w:rFonts w:hint="eastAsia" w:ascii="仿宋" w:hAnsi="仿宋" w:eastAsia="仿宋" w:cs="仿宋"/>
          <w:color w:val="auto"/>
          <w:sz w:val="30"/>
          <w:szCs w:val="30"/>
          <w:highlight w:val="none"/>
          <w:lang w:val="en-US" w:eastAsia="zh-CN"/>
        </w:rPr>
        <w:t xml:space="preserve">  </w:t>
      </w:r>
      <w:r>
        <w:rPr>
          <w:rFonts w:hint="eastAsia" w:ascii="仿宋" w:hAnsi="仿宋" w:eastAsia="仿宋" w:cs="仿宋"/>
          <w:color w:val="auto"/>
          <w:sz w:val="30"/>
          <w:szCs w:val="30"/>
          <w:highlight w:val="none"/>
        </w:rPr>
        <w:t>通，根据反馈意见修改报告。提炼项目实施过程中的主要经验及存在的问题，并针对存在的问题提出相应的建议，形成最终的绩效评价报告。</w:t>
      </w:r>
    </w:p>
    <w:p>
      <w:pPr>
        <w:pStyle w:val="3"/>
        <w:keepNext/>
        <w:keepLines/>
        <w:pageBreakBefore w:val="0"/>
        <w:widowControl w:val="0"/>
        <w:kinsoku/>
        <w:wordWrap/>
        <w:overflowPunct/>
        <w:topLinePunct w:val="0"/>
        <w:autoSpaceDE/>
        <w:autoSpaceDN/>
        <w:bidi w:val="0"/>
        <w:adjustRightInd/>
        <w:snapToGrid/>
        <w:spacing w:before="0" w:beforeAutospacing="0" w:after="0" w:afterAutospacing="0" w:line="360" w:lineRule="auto"/>
        <w:ind w:firstLine="643" w:firstLineChars="200"/>
        <w:jc w:val="both"/>
        <w:textAlignment w:val="auto"/>
        <w:outlineLvl w:val="1"/>
        <w:rPr>
          <w:rFonts w:hint="eastAsia" w:ascii="Cambria" w:hAnsi="Cambria" w:eastAsia="楷体_GB2312" w:cs="Times New Roman"/>
          <w:bCs/>
          <w:snapToGrid/>
          <w:kern w:val="2"/>
          <w:sz w:val="32"/>
          <w:szCs w:val="32"/>
          <w:lang w:val="en-US" w:eastAsia="zh-CN" w:bidi="ar-SA"/>
        </w:rPr>
      </w:pPr>
      <w:bookmarkStart w:id="8" w:name="_bookmark8"/>
      <w:bookmarkEnd w:id="8"/>
      <w:bookmarkStart w:id="9" w:name="_Toc20403"/>
      <w:r>
        <w:rPr>
          <w:rFonts w:hint="eastAsia" w:ascii="Cambria" w:hAnsi="Cambria" w:eastAsia="楷体_GB2312" w:cs="Times New Roman"/>
          <w:bCs/>
          <w:snapToGrid/>
          <w:kern w:val="2"/>
          <w:sz w:val="32"/>
          <w:szCs w:val="32"/>
          <w:lang w:val="en-US" w:eastAsia="zh-CN" w:bidi="ar-SA"/>
        </w:rPr>
        <w:t>（三） 绩效评价框架</w:t>
      </w:r>
      <w:bookmarkEnd w:id="9"/>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both"/>
        <w:textAlignment w:val="baseline"/>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lang w:val="en-US" w:eastAsia="zh-CN"/>
        </w:rPr>
        <w:t>1</w:t>
      </w:r>
      <w:r>
        <w:rPr>
          <w:rFonts w:hint="eastAsia" w:ascii="仿宋" w:hAnsi="仿宋" w:eastAsia="仿宋" w:cs="仿宋"/>
          <w:color w:val="auto"/>
          <w:sz w:val="30"/>
          <w:szCs w:val="30"/>
          <w:highlight w:val="none"/>
        </w:rPr>
        <w:t>、绩效评价原则</w:t>
      </w:r>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both"/>
        <w:textAlignment w:val="baseline"/>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本次绩效评价，我们遵循科学规范原则、公正公开原则、分级分类原 则、绩效相关原则。</w:t>
      </w:r>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both"/>
        <w:textAlignment w:val="baseline"/>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科学规范原则。绩效评价应当严格执行规定的程序，按照科学可行的要求，采用定量与定性分析相结合的方法。</w:t>
      </w:r>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both"/>
        <w:textAlignment w:val="baseline"/>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公正公开原则。绩效评价应当符合真实、客观、公正的要求，依法公开并接受监督。</w:t>
      </w:r>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both"/>
        <w:textAlignment w:val="baseline"/>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分级分类原则。绩效评价由各级财政部门、各预算部门根据评价对象的特点分类组织实施。</w:t>
      </w:r>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both"/>
        <w:textAlignment w:val="baseline"/>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绩效相关原则。绩效评价应当针对具体支出及产出绩效进行，评价结果应当清晰反映支出和产出绩效之间的紧密对应关系。</w:t>
      </w:r>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both"/>
        <w:textAlignment w:val="baseline"/>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lang w:val="en-US" w:eastAsia="zh-CN"/>
        </w:rPr>
        <w:t>2</w:t>
      </w:r>
      <w:r>
        <w:rPr>
          <w:rFonts w:hint="eastAsia" w:ascii="仿宋" w:hAnsi="仿宋" w:eastAsia="仿宋" w:cs="仿宋"/>
          <w:color w:val="auto"/>
          <w:sz w:val="30"/>
          <w:szCs w:val="30"/>
          <w:highlight w:val="none"/>
        </w:rPr>
        <w:t>、评价依据</w:t>
      </w:r>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both"/>
        <w:textAlignment w:val="baseline"/>
        <w:rPr>
          <w:rFonts w:hint="eastAsia"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 xml:space="preserve">1）《中华人民共和国预算法》（2014年修正）； </w:t>
      </w:r>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both"/>
        <w:textAlignment w:val="baseline"/>
        <w:rPr>
          <w:rFonts w:hint="eastAsia"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 xml:space="preserve">2）《财政部关于印发项目支出绩效评价管理办法的通知》（财预[2020]10号）； </w:t>
      </w:r>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both"/>
        <w:textAlignment w:val="baseline"/>
        <w:rPr>
          <w:rFonts w:hint="eastAsia"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3）《中共湖南省委办公厅 湖南省人民政府办公厅关于全面实施预算绩效管理的实施意见》（湘办发[2019]10号）；</w:t>
      </w:r>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both"/>
        <w:textAlignment w:val="baseline"/>
        <w:rPr>
          <w:rFonts w:hint="eastAsia"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4）《湖南省预算支出绩效评价管理办法》(湘财绩[2020]7号)；</w:t>
      </w:r>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both"/>
        <w:textAlignment w:val="baseline"/>
        <w:rPr>
          <w:rFonts w:hint="default"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5）《湖南省财政厅关于进一步规范绩效评价管理有关事项的通知》（湘财绩[2021]4号）</w:t>
      </w:r>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both"/>
        <w:textAlignment w:val="baseline"/>
        <w:rPr>
          <w:rFonts w:hint="default"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6）《麻阳苗族自治县财政局关于开展2022年度财政预算支出重点项目绩效评价工作的通知》（麻财绩〔2023〕5号）</w:t>
      </w:r>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both"/>
        <w:textAlignment w:val="baseline"/>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lang w:val="en-US" w:eastAsia="zh-CN"/>
        </w:rPr>
        <w:t>3</w:t>
      </w:r>
      <w:r>
        <w:rPr>
          <w:rFonts w:hint="eastAsia" w:ascii="仿宋" w:hAnsi="仿宋" w:eastAsia="仿宋" w:cs="仿宋"/>
          <w:color w:val="auto"/>
          <w:sz w:val="30"/>
          <w:szCs w:val="30"/>
          <w:highlight w:val="none"/>
        </w:rPr>
        <w:t>、评价指标体系</w:t>
      </w:r>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both"/>
        <w:textAlignment w:val="baseline"/>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根据</w:t>
      </w:r>
      <w:r>
        <w:rPr>
          <w:rFonts w:hint="eastAsia" w:ascii="仿宋" w:hAnsi="仿宋" w:eastAsia="仿宋" w:cs="仿宋"/>
          <w:color w:val="auto"/>
          <w:sz w:val="30"/>
          <w:szCs w:val="30"/>
          <w:highlight w:val="none"/>
          <w:lang w:val="en-US" w:eastAsia="zh-CN"/>
        </w:rPr>
        <w:t>《麻阳苗族自治县财政局关于开展2022年度财政预算支出重点项目绩效评价工作的通知》（麻财绩〔2023〕5号）的要求，</w:t>
      </w:r>
      <w:r>
        <w:rPr>
          <w:rFonts w:hint="eastAsia" w:ascii="仿宋" w:hAnsi="仿宋" w:eastAsia="仿宋" w:cs="仿宋"/>
          <w:color w:val="auto"/>
          <w:sz w:val="30"/>
          <w:szCs w:val="30"/>
          <w:highlight w:val="none"/>
        </w:rPr>
        <w:t>并结合本项目的具体情况，</w:t>
      </w:r>
      <w:r>
        <w:rPr>
          <w:rFonts w:hint="eastAsia" w:ascii="仿宋" w:hAnsi="仿宋" w:eastAsia="仿宋" w:cs="仿宋"/>
          <w:color w:val="auto"/>
          <w:sz w:val="30"/>
          <w:szCs w:val="30"/>
          <w:highlight w:val="none"/>
          <w:lang w:val="en-US" w:eastAsia="zh-CN"/>
        </w:rPr>
        <w:t>评价小组</w:t>
      </w:r>
      <w:r>
        <w:rPr>
          <w:rFonts w:hint="eastAsia" w:ascii="仿宋" w:hAnsi="仿宋" w:eastAsia="仿宋" w:cs="仿宋"/>
          <w:color w:val="auto"/>
          <w:sz w:val="30"/>
          <w:szCs w:val="30"/>
          <w:highlight w:val="none"/>
        </w:rPr>
        <w:t>设计</w:t>
      </w:r>
      <w:r>
        <w:rPr>
          <w:rFonts w:hint="eastAsia" w:ascii="仿宋" w:hAnsi="仿宋" w:eastAsia="仿宋" w:cs="仿宋"/>
          <w:color w:val="auto"/>
          <w:sz w:val="30"/>
          <w:szCs w:val="30"/>
          <w:highlight w:val="none"/>
          <w:lang w:val="en-US" w:eastAsia="zh-CN"/>
        </w:rPr>
        <w:t>了麻阳苗族自治县2022年农业保险资金</w:t>
      </w:r>
      <w:r>
        <w:rPr>
          <w:rFonts w:hint="eastAsia" w:ascii="仿宋" w:hAnsi="仿宋" w:eastAsia="仿宋" w:cs="仿宋"/>
          <w:color w:val="auto"/>
          <w:sz w:val="30"/>
          <w:szCs w:val="30"/>
          <w:highlight w:val="none"/>
        </w:rPr>
        <w:t>绩效评价指标体系，从</w:t>
      </w:r>
      <w:r>
        <w:rPr>
          <w:rFonts w:hint="eastAsia" w:ascii="仿宋" w:hAnsi="仿宋" w:eastAsia="仿宋" w:cs="仿宋"/>
          <w:color w:val="auto"/>
          <w:sz w:val="30"/>
          <w:szCs w:val="30"/>
          <w:highlight w:val="none"/>
          <w:lang w:val="en-US" w:eastAsia="zh-CN"/>
        </w:rPr>
        <w:t>决策</w:t>
      </w:r>
      <w:r>
        <w:rPr>
          <w:rFonts w:hint="eastAsia" w:ascii="仿宋" w:hAnsi="仿宋" w:eastAsia="仿宋" w:cs="仿宋"/>
          <w:color w:val="auto"/>
          <w:sz w:val="30"/>
          <w:szCs w:val="30"/>
          <w:highlight w:val="none"/>
        </w:rPr>
        <w:t>、过程、产出、效果四个维度，采用了1</w:t>
      </w:r>
      <w:r>
        <w:rPr>
          <w:rFonts w:hint="eastAsia" w:ascii="仿宋" w:hAnsi="仿宋" w:eastAsia="仿宋" w:cs="仿宋"/>
          <w:color w:val="auto"/>
          <w:sz w:val="30"/>
          <w:szCs w:val="30"/>
          <w:highlight w:val="none"/>
          <w:lang w:val="en-US" w:eastAsia="zh-CN"/>
        </w:rPr>
        <w:t>2</w:t>
      </w:r>
      <w:r>
        <w:rPr>
          <w:rFonts w:hint="eastAsia" w:ascii="仿宋" w:hAnsi="仿宋" w:eastAsia="仿宋" w:cs="仿宋"/>
          <w:color w:val="auto"/>
          <w:sz w:val="30"/>
          <w:szCs w:val="30"/>
          <w:highlight w:val="none"/>
        </w:rPr>
        <w:t>个子类指标，设计了</w:t>
      </w:r>
      <w:r>
        <w:rPr>
          <w:rFonts w:hint="eastAsia" w:ascii="仿宋" w:hAnsi="仿宋" w:eastAsia="仿宋" w:cs="仿宋"/>
          <w:color w:val="auto"/>
          <w:sz w:val="30"/>
          <w:szCs w:val="30"/>
          <w:highlight w:val="none"/>
          <w:lang w:val="en-US" w:eastAsia="zh-CN"/>
        </w:rPr>
        <w:t>29</w:t>
      </w:r>
      <w:r>
        <w:rPr>
          <w:rFonts w:hint="eastAsia" w:ascii="仿宋" w:hAnsi="仿宋" w:eastAsia="仿宋" w:cs="仿宋"/>
          <w:color w:val="auto"/>
          <w:sz w:val="30"/>
          <w:szCs w:val="30"/>
          <w:highlight w:val="none"/>
        </w:rPr>
        <w:t>个具体指标，对</w:t>
      </w:r>
      <w:r>
        <w:rPr>
          <w:rFonts w:hint="eastAsia" w:ascii="仿宋" w:hAnsi="仿宋" w:eastAsia="仿宋" w:cs="仿宋"/>
          <w:color w:val="auto"/>
          <w:sz w:val="30"/>
          <w:szCs w:val="30"/>
          <w:highlight w:val="none"/>
          <w:lang w:val="en-US" w:eastAsia="zh-CN"/>
        </w:rPr>
        <w:t>麻阳苗族自治县2022年农业保险资金</w:t>
      </w:r>
      <w:r>
        <w:rPr>
          <w:rFonts w:hint="eastAsia" w:ascii="仿宋" w:hAnsi="仿宋" w:eastAsia="仿宋" w:cs="仿宋"/>
          <w:color w:val="auto"/>
          <w:sz w:val="30"/>
          <w:szCs w:val="30"/>
          <w:highlight w:val="none"/>
        </w:rPr>
        <w:t>进行综合评价</w:t>
      </w:r>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both"/>
        <w:textAlignment w:val="baseline"/>
        <w:rPr>
          <w:rFonts w:hint="default"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麻阳苗族自治县2022年农业保险资金</w:t>
      </w:r>
      <w:r>
        <w:rPr>
          <w:rFonts w:hint="eastAsia" w:ascii="仿宋" w:hAnsi="仿宋" w:eastAsia="仿宋" w:cs="仿宋"/>
          <w:color w:val="auto"/>
          <w:sz w:val="30"/>
          <w:szCs w:val="30"/>
          <w:highlight w:val="none"/>
        </w:rPr>
        <w:t>绩效评价指标体系</w:t>
      </w:r>
      <w:r>
        <w:rPr>
          <w:rFonts w:hint="eastAsia" w:ascii="仿宋" w:hAnsi="仿宋" w:eastAsia="仿宋" w:cs="仿宋"/>
          <w:color w:val="auto"/>
          <w:sz w:val="30"/>
          <w:szCs w:val="30"/>
          <w:highlight w:val="none"/>
          <w:lang w:val="en-US" w:eastAsia="zh-CN"/>
        </w:rPr>
        <w:t>详附件。</w:t>
      </w:r>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both"/>
        <w:textAlignment w:val="baseline"/>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lang w:val="en-US" w:eastAsia="zh-CN"/>
        </w:rPr>
        <w:t>4</w:t>
      </w:r>
      <w:r>
        <w:rPr>
          <w:rFonts w:hint="eastAsia" w:ascii="仿宋" w:hAnsi="仿宋" w:eastAsia="仿宋" w:cs="仿宋"/>
          <w:color w:val="auto"/>
          <w:sz w:val="30"/>
          <w:szCs w:val="30"/>
          <w:highlight w:val="none"/>
        </w:rPr>
        <w:t>、绩效评价方法</w:t>
      </w:r>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both"/>
        <w:textAlignment w:val="baseline"/>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（1） 评价方法</w:t>
      </w:r>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both"/>
        <w:textAlignment w:val="baseline"/>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本次绩效评价主要采用的评价方法包括成本效益分析法、比较法、因素分析法、公众评判法等。</w:t>
      </w:r>
    </w:p>
    <w:p>
      <w:pPr>
        <w:keepNext w:val="0"/>
        <w:keepLines w:val="0"/>
        <w:pageBreakBefore w:val="0"/>
        <w:widowControl w:val="0"/>
        <w:kinsoku w:val="0"/>
        <w:wordWrap/>
        <w:overflowPunct/>
        <w:topLinePunct w:val="0"/>
        <w:autoSpaceDE w:val="0"/>
        <w:autoSpaceDN w:val="0"/>
        <w:bidi w:val="0"/>
        <w:adjustRightInd w:val="0"/>
        <w:snapToGrid w:val="0"/>
        <w:spacing w:before="0" w:after="0" w:line="540" w:lineRule="exact"/>
        <w:ind w:left="23" w:firstLine="561"/>
        <w:jc w:val="both"/>
        <w:textAlignment w:val="baseline"/>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1） 成本效益分析法。是指将一定时期内的支出与效益进行对比分析以 评价绩效目标实现程度。</w:t>
      </w:r>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both"/>
        <w:textAlignment w:val="baseline"/>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2）比较法。是指通过对绩效目标与实施效果、历史与当期情</w:t>
      </w:r>
      <w:r>
        <w:rPr>
          <w:rFonts w:hint="eastAsia" w:ascii="仿宋" w:hAnsi="仿宋" w:eastAsia="仿宋" w:cs="仿宋"/>
          <w:color w:val="auto"/>
          <w:sz w:val="30"/>
          <w:szCs w:val="30"/>
          <w:highlight w:val="none"/>
          <w:lang w:val="en-US" w:eastAsia="zh-CN"/>
        </w:rPr>
        <w:t xml:space="preserve">   </w:t>
      </w:r>
      <w:r>
        <w:rPr>
          <w:rFonts w:hint="eastAsia" w:ascii="仿宋" w:hAnsi="仿宋" w:eastAsia="仿宋" w:cs="仿宋"/>
          <w:color w:val="auto"/>
          <w:sz w:val="30"/>
          <w:szCs w:val="30"/>
          <w:highlight w:val="none"/>
        </w:rPr>
        <w:t>况、不同部门和地区同类支出的比较，综合分析绩效目标实现程</w:t>
      </w:r>
      <w:r>
        <w:rPr>
          <w:rFonts w:hint="eastAsia" w:ascii="仿宋" w:hAnsi="仿宋" w:eastAsia="仿宋" w:cs="仿宋"/>
          <w:color w:val="auto"/>
          <w:sz w:val="30"/>
          <w:szCs w:val="30"/>
          <w:highlight w:val="none"/>
          <w:lang w:val="en-US" w:eastAsia="zh-CN"/>
        </w:rPr>
        <w:t xml:space="preserve">   </w:t>
      </w:r>
      <w:r>
        <w:rPr>
          <w:rFonts w:hint="eastAsia" w:ascii="仿宋" w:hAnsi="仿宋" w:eastAsia="仿宋" w:cs="仿宋"/>
          <w:color w:val="auto"/>
          <w:sz w:val="30"/>
          <w:szCs w:val="30"/>
          <w:highlight w:val="none"/>
        </w:rPr>
        <w:t>度。</w:t>
      </w:r>
    </w:p>
    <w:p>
      <w:pPr>
        <w:keepNext w:val="0"/>
        <w:keepLines w:val="0"/>
        <w:pageBreakBefore w:val="0"/>
        <w:widowControl w:val="0"/>
        <w:kinsoku w:val="0"/>
        <w:wordWrap/>
        <w:overflowPunct/>
        <w:topLinePunct w:val="0"/>
        <w:autoSpaceDE w:val="0"/>
        <w:autoSpaceDN w:val="0"/>
        <w:bidi w:val="0"/>
        <w:adjustRightInd w:val="0"/>
        <w:snapToGrid w:val="0"/>
        <w:spacing w:before="0" w:after="0" w:line="540" w:lineRule="exact"/>
        <w:ind w:left="23" w:firstLine="561"/>
        <w:jc w:val="both"/>
        <w:textAlignment w:val="baseline"/>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3） 因素分析法。是指通过综合分析影响绩效目标实现、实施效果的内外因素，评价绩效目标实现程度。</w:t>
      </w:r>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both"/>
        <w:textAlignment w:val="baseline"/>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4） 公众评判法。是指通过专家评估、公众问卷及抽样调查等对财政支出效果进行评判，评价绩效目标实现程度。</w:t>
      </w:r>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both"/>
        <w:textAlignment w:val="baseline"/>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（2） 调查方法</w:t>
      </w:r>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both"/>
        <w:textAlignment w:val="baseline"/>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本项目采用抽样调查的方式。本次评价小组共回收</w:t>
      </w:r>
      <w:r>
        <w:rPr>
          <w:rFonts w:hint="eastAsia" w:ascii="仿宋" w:hAnsi="仿宋" w:eastAsia="仿宋" w:cs="仿宋"/>
          <w:color w:val="auto"/>
          <w:sz w:val="30"/>
          <w:szCs w:val="30"/>
          <w:highlight w:val="none"/>
          <w:lang w:val="en-US" w:eastAsia="zh-CN"/>
        </w:rPr>
        <w:t>调查问卷50份</w:t>
      </w:r>
      <w:r>
        <w:rPr>
          <w:rFonts w:hint="eastAsia" w:ascii="仿宋" w:hAnsi="仿宋" w:eastAsia="仿宋" w:cs="仿宋"/>
          <w:color w:val="auto"/>
          <w:sz w:val="30"/>
          <w:szCs w:val="30"/>
          <w:highlight w:val="none"/>
        </w:rPr>
        <w:t>。</w:t>
      </w:r>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both"/>
        <w:textAlignment w:val="baseline"/>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（3） 评分方法</w:t>
      </w:r>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both"/>
        <w:textAlignment w:val="baseline"/>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根据以上方法对评价指标采用百分制打分后，对绩效评价结果采取评 分与评级相结合的形式，确定绩效评价结果类型分为：优、 良、</w:t>
      </w:r>
      <w:r>
        <w:rPr>
          <w:rFonts w:hint="eastAsia" w:ascii="仿宋" w:hAnsi="仿宋" w:eastAsia="仿宋" w:cs="仿宋"/>
          <w:color w:val="auto"/>
          <w:sz w:val="30"/>
          <w:szCs w:val="30"/>
          <w:highlight w:val="none"/>
          <w:lang w:val="en-US" w:eastAsia="zh-CN"/>
        </w:rPr>
        <w:t>较差</w:t>
      </w:r>
      <w:r>
        <w:rPr>
          <w:rFonts w:hint="eastAsia" w:ascii="仿宋" w:hAnsi="仿宋" w:eastAsia="仿宋" w:cs="仿宋"/>
          <w:color w:val="auto"/>
          <w:sz w:val="30"/>
          <w:szCs w:val="30"/>
          <w:highlight w:val="none"/>
        </w:rPr>
        <w:t>、差四个等级；其中优≥90 分；90 分＞良≥80 分；80 分＞</w:t>
      </w:r>
      <w:r>
        <w:rPr>
          <w:rFonts w:hint="eastAsia" w:ascii="仿宋" w:hAnsi="仿宋" w:eastAsia="仿宋" w:cs="仿宋"/>
          <w:color w:val="auto"/>
          <w:sz w:val="30"/>
          <w:szCs w:val="30"/>
          <w:highlight w:val="none"/>
          <w:lang w:val="en-US" w:eastAsia="zh-CN"/>
        </w:rPr>
        <w:t>较差</w:t>
      </w:r>
      <w:r>
        <w:rPr>
          <w:rFonts w:hint="eastAsia" w:ascii="仿宋" w:hAnsi="仿宋" w:eastAsia="仿宋" w:cs="仿宋"/>
          <w:color w:val="auto"/>
          <w:sz w:val="30"/>
          <w:szCs w:val="30"/>
          <w:highlight w:val="none"/>
        </w:rPr>
        <w:t>≥60 分；差&lt;60 分。 最终确定绩效评价结果类型和评价结果级别。</w:t>
      </w:r>
    </w:p>
    <w:p>
      <w:pPr>
        <w:pStyle w:val="3"/>
        <w:keepNext/>
        <w:keepLines/>
        <w:pageBreakBefore w:val="0"/>
        <w:widowControl w:val="0"/>
        <w:kinsoku/>
        <w:wordWrap/>
        <w:overflowPunct/>
        <w:topLinePunct w:val="0"/>
        <w:autoSpaceDE/>
        <w:autoSpaceDN/>
        <w:bidi w:val="0"/>
        <w:adjustRightInd/>
        <w:snapToGrid/>
        <w:spacing w:before="0" w:beforeAutospacing="0" w:after="0" w:afterAutospacing="0" w:line="360" w:lineRule="auto"/>
        <w:ind w:firstLine="643" w:firstLineChars="200"/>
        <w:jc w:val="both"/>
        <w:textAlignment w:val="auto"/>
        <w:outlineLvl w:val="1"/>
        <w:rPr>
          <w:rFonts w:hint="eastAsia" w:ascii="Cambria" w:hAnsi="Cambria" w:eastAsia="楷体_GB2312" w:cs="Times New Roman"/>
          <w:bCs/>
          <w:snapToGrid/>
          <w:kern w:val="2"/>
          <w:sz w:val="32"/>
          <w:szCs w:val="32"/>
          <w:lang w:val="en-US" w:eastAsia="zh-CN" w:bidi="ar-SA"/>
        </w:rPr>
      </w:pPr>
      <w:bookmarkStart w:id="10" w:name="_bookmark9"/>
      <w:bookmarkEnd w:id="10"/>
      <w:bookmarkStart w:id="11" w:name="_Toc7410"/>
      <w:r>
        <w:rPr>
          <w:rFonts w:hint="eastAsia" w:ascii="Cambria" w:hAnsi="Cambria" w:eastAsia="楷体_GB2312" w:cs="Times New Roman"/>
          <w:bCs/>
          <w:snapToGrid/>
          <w:kern w:val="2"/>
          <w:sz w:val="32"/>
          <w:szCs w:val="32"/>
          <w:lang w:val="en-US" w:eastAsia="zh-CN" w:bidi="ar-SA"/>
        </w:rPr>
        <w:t>（四） 证据收集方式</w:t>
      </w:r>
      <w:bookmarkEnd w:id="11"/>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both"/>
        <w:textAlignment w:val="baseline"/>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本项目采用的证据收集方法包括：案卷研究、案例研究、面</w:t>
      </w:r>
      <w:r>
        <w:rPr>
          <w:rFonts w:hint="eastAsia" w:ascii="仿宋" w:hAnsi="仿宋" w:eastAsia="仿宋" w:cs="仿宋"/>
          <w:color w:val="auto"/>
          <w:sz w:val="30"/>
          <w:szCs w:val="30"/>
          <w:highlight w:val="none"/>
          <w:lang w:val="en-US" w:eastAsia="zh-CN"/>
        </w:rPr>
        <w:t xml:space="preserve">    </w:t>
      </w:r>
      <w:r>
        <w:rPr>
          <w:rFonts w:hint="eastAsia" w:ascii="仿宋" w:hAnsi="仿宋" w:eastAsia="仿宋" w:cs="仿宋"/>
          <w:color w:val="auto"/>
          <w:sz w:val="30"/>
          <w:szCs w:val="30"/>
          <w:highlight w:val="none"/>
        </w:rPr>
        <w:t>访、问卷调查、实地调研等。</w:t>
      </w:r>
    </w:p>
    <w:p>
      <w:pPr>
        <w:keepNext w:val="0"/>
        <w:keepLines w:val="0"/>
        <w:pageBreakBefore w:val="0"/>
        <w:widowControl/>
        <w:kinsoku w:val="0"/>
        <w:wordWrap/>
        <w:overflowPunct/>
        <w:topLinePunct w:val="0"/>
        <w:autoSpaceDE w:val="0"/>
        <w:autoSpaceDN w:val="0"/>
        <w:bidi w:val="0"/>
        <w:adjustRightInd w:val="0"/>
        <w:snapToGrid w:val="0"/>
        <w:spacing w:before="0" w:afterAutospacing="0" w:line="540" w:lineRule="exact"/>
        <w:ind w:left="0" w:firstLine="560"/>
        <w:jc w:val="both"/>
        <w:textAlignment w:val="baseline"/>
        <w:rPr>
          <w:rFonts w:hint="eastAsia"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rPr>
        <w:t>本项目评价小组走访了</w:t>
      </w:r>
      <w:r>
        <w:rPr>
          <w:rFonts w:hint="eastAsia" w:ascii="仿宋" w:hAnsi="仿宋" w:eastAsia="仿宋" w:cs="仿宋"/>
          <w:color w:val="auto"/>
          <w:sz w:val="30"/>
          <w:szCs w:val="30"/>
          <w:highlight w:val="none"/>
          <w:lang w:val="en-US" w:eastAsia="zh-CN"/>
        </w:rPr>
        <w:t>麻阳苗族自治县财政局、中国人民财产保险股份有限公司麻阳支公司、中华联合财产保险股份有限公司麻阳县支公司、中国太平洋财产保险股份有限公司麻阳支公司</w:t>
      </w:r>
      <w:r>
        <w:rPr>
          <w:rFonts w:hint="eastAsia" w:ascii="仿宋" w:hAnsi="仿宋" w:eastAsia="仿宋" w:cs="仿宋"/>
          <w:color w:val="auto"/>
          <w:sz w:val="30"/>
          <w:szCs w:val="30"/>
          <w:highlight w:val="none"/>
          <w:lang w:eastAsia="zh-CN"/>
        </w:rPr>
        <w:t>，</w:t>
      </w:r>
      <w:r>
        <w:rPr>
          <w:rFonts w:hint="eastAsia" w:ascii="仿宋" w:hAnsi="仿宋" w:eastAsia="仿宋" w:cs="仿宋"/>
          <w:color w:val="auto"/>
          <w:sz w:val="30"/>
          <w:szCs w:val="30"/>
          <w:highlight w:val="none"/>
        </w:rPr>
        <w:t>实地通过案卷研究、案例研究、面访收集并验证评价信息资料。根据了解的项目情况设计绩效评价工作方案、指标体系，并针对</w:t>
      </w:r>
      <w:r>
        <w:rPr>
          <w:rFonts w:hint="eastAsia" w:ascii="仿宋" w:hAnsi="仿宋" w:eastAsia="仿宋" w:cs="仿宋"/>
          <w:color w:val="auto"/>
          <w:sz w:val="30"/>
          <w:szCs w:val="30"/>
          <w:highlight w:val="none"/>
          <w:lang w:val="en-US" w:eastAsia="zh-CN"/>
        </w:rPr>
        <w:t>社会公众</w:t>
      </w:r>
      <w:r>
        <w:rPr>
          <w:rFonts w:hint="eastAsia" w:ascii="仿宋" w:hAnsi="仿宋" w:eastAsia="仿宋" w:cs="仿宋"/>
          <w:color w:val="auto"/>
          <w:sz w:val="30"/>
          <w:szCs w:val="30"/>
          <w:highlight w:val="none"/>
        </w:rPr>
        <w:t>设计调研问卷，通过问卷调查方式，对</w:t>
      </w:r>
      <w:r>
        <w:rPr>
          <w:rFonts w:hint="eastAsia" w:ascii="仿宋" w:hAnsi="仿宋" w:eastAsia="仿宋" w:cs="仿宋"/>
          <w:color w:val="auto"/>
          <w:sz w:val="30"/>
          <w:szCs w:val="30"/>
          <w:highlight w:val="none"/>
          <w:lang w:val="en-US" w:eastAsia="zh-CN"/>
        </w:rPr>
        <w:t>受益群众</w:t>
      </w:r>
      <w:r>
        <w:rPr>
          <w:rFonts w:hint="eastAsia" w:ascii="仿宋" w:hAnsi="仿宋" w:eastAsia="仿宋" w:cs="仿宋"/>
          <w:color w:val="auto"/>
          <w:sz w:val="30"/>
          <w:szCs w:val="30"/>
          <w:highlight w:val="none"/>
        </w:rPr>
        <w:t>进行问卷调研</w:t>
      </w:r>
      <w:r>
        <w:rPr>
          <w:rFonts w:hint="eastAsia" w:ascii="仿宋" w:hAnsi="仿宋" w:eastAsia="仿宋" w:cs="仿宋"/>
          <w:color w:val="auto"/>
          <w:sz w:val="30"/>
          <w:szCs w:val="30"/>
          <w:highlight w:val="none"/>
          <w:lang w:eastAsia="zh-CN"/>
        </w:rPr>
        <w:t>。</w:t>
      </w:r>
    </w:p>
    <w:p>
      <w:pPr>
        <w:pStyle w:val="2"/>
        <w:keepNext w:val="0"/>
        <w:keepLines w:val="0"/>
        <w:pageBreakBefore w:val="0"/>
        <w:widowControl w:val="0"/>
        <w:kinsoku/>
        <w:wordWrap/>
        <w:overflowPunct/>
        <w:topLinePunct w:val="0"/>
        <w:autoSpaceDE/>
        <w:autoSpaceDN/>
        <w:bidi w:val="0"/>
        <w:adjustRightInd/>
        <w:snapToGrid/>
        <w:spacing w:before="0" w:beforeLines="-2147483648" w:beforeAutospacing="0" w:after="0" w:afterLines="-2147483648" w:afterAutospacing="0" w:line="360" w:lineRule="auto"/>
        <w:ind w:left="0" w:firstLine="643" w:firstLineChars="200"/>
        <w:jc w:val="both"/>
        <w:textAlignment w:val="auto"/>
        <w:rPr>
          <w:rFonts w:hint="eastAsia" w:ascii="Calibri" w:hAnsi="Calibri" w:eastAsia="黑体" w:cs="Times New Roman"/>
          <w:bCs/>
          <w:snapToGrid/>
          <w:sz w:val="32"/>
          <w:szCs w:val="44"/>
          <w:lang w:val="en-US" w:eastAsia="zh-CN" w:bidi="ar-SA"/>
        </w:rPr>
      </w:pPr>
      <w:bookmarkStart w:id="12" w:name="_Toc31412"/>
      <w:r>
        <w:rPr>
          <w:rFonts w:hint="eastAsia" w:ascii="Calibri" w:hAnsi="Calibri" w:eastAsia="黑体" w:cs="Times New Roman"/>
          <w:bCs/>
          <w:snapToGrid/>
          <w:sz w:val="32"/>
          <w:szCs w:val="44"/>
          <w:lang w:val="en-US" w:eastAsia="zh-CN" w:bidi="ar-SA"/>
        </w:rPr>
        <w:t>三、绩效评价分析</w:t>
      </w:r>
      <w:bookmarkEnd w:id="12"/>
    </w:p>
    <w:p>
      <w:pPr>
        <w:pStyle w:val="3"/>
        <w:keepNext/>
        <w:keepLines/>
        <w:pageBreakBefore w:val="0"/>
        <w:widowControl w:val="0"/>
        <w:kinsoku/>
        <w:wordWrap/>
        <w:overflowPunct/>
        <w:topLinePunct w:val="0"/>
        <w:autoSpaceDE/>
        <w:autoSpaceDN/>
        <w:bidi w:val="0"/>
        <w:adjustRightInd/>
        <w:snapToGrid/>
        <w:spacing w:before="0" w:beforeAutospacing="0" w:after="0" w:afterAutospacing="0" w:line="360" w:lineRule="auto"/>
        <w:ind w:left="0" w:firstLine="643" w:firstLineChars="200"/>
        <w:jc w:val="both"/>
        <w:textAlignment w:val="auto"/>
        <w:outlineLvl w:val="1"/>
        <w:rPr>
          <w:rFonts w:hint="eastAsia" w:ascii="Cambria" w:hAnsi="Cambria" w:eastAsia="楷体_GB2312" w:cs="Times New Roman"/>
          <w:bCs/>
          <w:snapToGrid/>
          <w:kern w:val="2"/>
          <w:sz w:val="32"/>
          <w:szCs w:val="32"/>
          <w:lang w:val="en-US" w:eastAsia="zh-CN" w:bidi="ar-SA"/>
        </w:rPr>
      </w:pPr>
      <w:bookmarkStart w:id="13" w:name="_Toc8348"/>
      <w:r>
        <w:rPr>
          <w:rFonts w:hint="eastAsia" w:ascii="Cambria" w:hAnsi="Cambria" w:eastAsia="楷体_GB2312" w:cs="Times New Roman"/>
          <w:bCs/>
          <w:snapToGrid/>
          <w:kern w:val="2"/>
          <w:sz w:val="32"/>
          <w:szCs w:val="32"/>
          <w:lang w:val="en-US" w:eastAsia="zh-CN" w:bidi="ar-SA"/>
        </w:rPr>
        <w:t>（一） 决策</w:t>
      </w:r>
      <w:bookmarkEnd w:id="13"/>
    </w:p>
    <w:p>
      <w:pPr>
        <w:keepNext w:val="0"/>
        <w:keepLines w:val="0"/>
        <w:pageBreakBefore w:val="0"/>
        <w:widowControl w:val="0"/>
        <w:kinsoku w:val="0"/>
        <w:wordWrap/>
        <w:overflowPunct/>
        <w:topLinePunct w:val="0"/>
        <w:autoSpaceDE w:val="0"/>
        <w:autoSpaceDN w:val="0"/>
        <w:bidi w:val="0"/>
        <w:adjustRightInd w:val="0"/>
        <w:snapToGrid w:val="0"/>
        <w:spacing w:before="0" w:afterAutospacing="0" w:line="540" w:lineRule="exact"/>
        <w:ind w:left="0" w:firstLine="561"/>
        <w:jc w:val="both"/>
        <w:textAlignment w:val="baseline"/>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根据</w:t>
      </w:r>
      <w:r>
        <w:rPr>
          <w:rFonts w:hint="eastAsia" w:ascii="仿宋" w:hAnsi="仿宋" w:eastAsia="仿宋" w:cs="仿宋"/>
          <w:color w:val="auto"/>
          <w:sz w:val="30"/>
          <w:szCs w:val="30"/>
          <w:highlight w:val="none"/>
          <w:lang w:val="en-US" w:eastAsia="zh-CN"/>
        </w:rPr>
        <w:t>评分标准</w:t>
      </w:r>
      <w:r>
        <w:rPr>
          <w:rFonts w:hint="eastAsia" w:ascii="仿宋" w:hAnsi="仿宋" w:eastAsia="仿宋" w:cs="仿宋"/>
          <w:color w:val="auto"/>
          <w:sz w:val="30"/>
          <w:szCs w:val="30"/>
          <w:highlight w:val="none"/>
        </w:rPr>
        <w:t>，</w:t>
      </w:r>
      <w:r>
        <w:rPr>
          <w:rFonts w:hint="eastAsia" w:ascii="仿宋" w:hAnsi="仿宋" w:eastAsia="仿宋" w:cs="仿宋"/>
          <w:color w:val="auto"/>
          <w:sz w:val="30"/>
          <w:szCs w:val="30"/>
          <w:highlight w:val="none"/>
          <w:lang w:val="en-US" w:eastAsia="zh-CN"/>
        </w:rPr>
        <w:t>决策</w:t>
      </w:r>
      <w:r>
        <w:rPr>
          <w:rFonts w:hint="eastAsia" w:ascii="仿宋" w:hAnsi="仿宋" w:eastAsia="仿宋" w:cs="仿宋"/>
          <w:color w:val="auto"/>
          <w:sz w:val="30"/>
          <w:szCs w:val="30"/>
          <w:highlight w:val="none"/>
        </w:rPr>
        <w:t xml:space="preserve">评价总分 </w:t>
      </w:r>
      <w:r>
        <w:rPr>
          <w:rFonts w:hint="eastAsia" w:ascii="仿宋" w:hAnsi="仿宋" w:eastAsia="仿宋" w:cs="仿宋"/>
          <w:color w:val="auto"/>
          <w:sz w:val="30"/>
          <w:szCs w:val="30"/>
          <w:highlight w:val="none"/>
          <w:lang w:val="en-US" w:eastAsia="zh-CN"/>
        </w:rPr>
        <w:t>15</w:t>
      </w:r>
      <w:r>
        <w:rPr>
          <w:rFonts w:hint="eastAsia" w:ascii="仿宋" w:hAnsi="仿宋" w:eastAsia="仿宋" w:cs="仿宋"/>
          <w:color w:val="auto"/>
          <w:sz w:val="30"/>
          <w:szCs w:val="30"/>
          <w:highlight w:val="none"/>
        </w:rPr>
        <w:t xml:space="preserve"> 分，得 </w:t>
      </w:r>
      <w:r>
        <w:rPr>
          <w:rFonts w:hint="eastAsia" w:ascii="仿宋" w:hAnsi="仿宋" w:eastAsia="仿宋" w:cs="仿宋"/>
          <w:color w:val="auto"/>
          <w:sz w:val="30"/>
          <w:szCs w:val="30"/>
          <w:highlight w:val="none"/>
          <w:lang w:val="en-US" w:eastAsia="zh-CN"/>
        </w:rPr>
        <w:t xml:space="preserve">15 </w:t>
      </w:r>
      <w:r>
        <w:rPr>
          <w:rFonts w:hint="eastAsia" w:ascii="仿宋" w:hAnsi="仿宋" w:eastAsia="仿宋" w:cs="仿宋"/>
          <w:color w:val="auto"/>
          <w:sz w:val="30"/>
          <w:szCs w:val="30"/>
          <w:highlight w:val="none"/>
        </w:rPr>
        <w:t>分</w:t>
      </w:r>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both"/>
        <w:textAlignment w:val="baseline"/>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 xml:space="preserve">1、项目立项（满分 </w:t>
      </w:r>
      <w:r>
        <w:rPr>
          <w:rFonts w:hint="eastAsia" w:ascii="仿宋" w:hAnsi="仿宋" w:eastAsia="仿宋" w:cs="仿宋"/>
          <w:color w:val="auto"/>
          <w:sz w:val="30"/>
          <w:szCs w:val="30"/>
          <w:highlight w:val="none"/>
          <w:lang w:val="en-US" w:eastAsia="zh-CN"/>
        </w:rPr>
        <w:t>4</w:t>
      </w:r>
      <w:r>
        <w:rPr>
          <w:rFonts w:hint="eastAsia" w:ascii="仿宋" w:hAnsi="仿宋" w:eastAsia="仿宋" w:cs="仿宋"/>
          <w:color w:val="auto"/>
          <w:sz w:val="30"/>
          <w:szCs w:val="30"/>
          <w:highlight w:val="none"/>
        </w:rPr>
        <w:t xml:space="preserve"> 分，得分</w:t>
      </w:r>
      <w:r>
        <w:rPr>
          <w:rFonts w:hint="eastAsia" w:ascii="仿宋" w:hAnsi="仿宋" w:eastAsia="仿宋" w:cs="仿宋"/>
          <w:color w:val="auto"/>
          <w:sz w:val="30"/>
          <w:szCs w:val="30"/>
          <w:highlight w:val="none"/>
          <w:lang w:val="en-US" w:eastAsia="zh-CN"/>
        </w:rPr>
        <w:t xml:space="preserve"> 4</w:t>
      </w:r>
      <w:r>
        <w:rPr>
          <w:rFonts w:hint="eastAsia" w:ascii="仿宋" w:hAnsi="仿宋" w:eastAsia="仿宋" w:cs="仿宋"/>
          <w:color w:val="auto"/>
          <w:sz w:val="30"/>
          <w:szCs w:val="30"/>
          <w:highlight w:val="none"/>
        </w:rPr>
        <w:t xml:space="preserve"> 分）</w:t>
      </w:r>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both"/>
        <w:textAlignment w:val="baseline"/>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（1） 立项</w:t>
      </w:r>
      <w:r>
        <w:rPr>
          <w:rFonts w:hint="eastAsia" w:ascii="仿宋" w:hAnsi="仿宋" w:eastAsia="仿宋" w:cs="仿宋"/>
          <w:color w:val="auto"/>
          <w:sz w:val="30"/>
          <w:szCs w:val="30"/>
          <w:highlight w:val="none"/>
          <w:lang w:val="en-US" w:eastAsia="zh-CN"/>
        </w:rPr>
        <w:t>依据充分性</w:t>
      </w:r>
      <w:r>
        <w:rPr>
          <w:rFonts w:hint="eastAsia" w:ascii="仿宋" w:hAnsi="仿宋" w:eastAsia="仿宋" w:cs="仿宋"/>
          <w:color w:val="auto"/>
          <w:sz w:val="30"/>
          <w:szCs w:val="30"/>
          <w:highlight w:val="none"/>
        </w:rPr>
        <w:t xml:space="preserve">：满分 </w:t>
      </w:r>
      <w:r>
        <w:rPr>
          <w:rFonts w:hint="eastAsia" w:ascii="仿宋" w:hAnsi="仿宋" w:eastAsia="仿宋" w:cs="仿宋"/>
          <w:color w:val="auto"/>
          <w:sz w:val="30"/>
          <w:szCs w:val="30"/>
          <w:highlight w:val="none"/>
          <w:lang w:val="en-US" w:eastAsia="zh-CN"/>
        </w:rPr>
        <w:t>2</w:t>
      </w:r>
      <w:r>
        <w:rPr>
          <w:rFonts w:hint="eastAsia" w:ascii="仿宋" w:hAnsi="仿宋" w:eastAsia="仿宋" w:cs="仿宋"/>
          <w:color w:val="auto"/>
          <w:sz w:val="30"/>
          <w:szCs w:val="30"/>
          <w:highlight w:val="none"/>
        </w:rPr>
        <w:t xml:space="preserve"> 分，得</w:t>
      </w:r>
      <w:r>
        <w:rPr>
          <w:rFonts w:hint="eastAsia" w:ascii="仿宋" w:hAnsi="仿宋" w:eastAsia="仿宋" w:cs="仿宋"/>
          <w:color w:val="auto"/>
          <w:sz w:val="30"/>
          <w:szCs w:val="30"/>
          <w:highlight w:val="none"/>
          <w:lang w:val="en-US" w:eastAsia="zh-CN"/>
        </w:rPr>
        <w:t>分</w:t>
      </w:r>
      <w:r>
        <w:rPr>
          <w:rFonts w:hint="eastAsia" w:ascii="仿宋" w:hAnsi="仿宋" w:eastAsia="仿宋" w:cs="仿宋"/>
          <w:color w:val="auto"/>
          <w:sz w:val="30"/>
          <w:szCs w:val="30"/>
          <w:highlight w:val="none"/>
        </w:rPr>
        <w:t xml:space="preserve"> </w:t>
      </w:r>
      <w:r>
        <w:rPr>
          <w:rFonts w:hint="eastAsia" w:ascii="仿宋" w:hAnsi="仿宋" w:eastAsia="仿宋" w:cs="仿宋"/>
          <w:color w:val="auto"/>
          <w:sz w:val="30"/>
          <w:szCs w:val="30"/>
          <w:highlight w:val="none"/>
          <w:lang w:val="en-US" w:eastAsia="zh-CN"/>
        </w:rPr>
        <w:t>2</w:t>
      </w:r>
      <w:r>
        <w:rPr>
          <w:rFonts w:hint="eastAsia" w:ascii="仿宋" w:hAnsi="仿宋" w:eastAsia="仿宋" w:cs="仿宋"/>
          <w:color w:val="auto"/>
          <w:sz w:val="30"/>
          <w:szCs w:val="30"/>
          <w:highlight w:val="none"/>
        </w:rPr>
        <w:t xml:space="preserve"> 分</w:t>
      </w:r>
    </w:p>
    <w:p>
      <w:pPr>
        <w:keepNext w:val="0"/>
        <w:keepLines w:val="0"/>
        <w:pageBreakBefore w:val="0"/>
        <w:widowControl w:val="0"/>
        <w:kinsoku w:val="0"/>
        <w:wordWrap/>
        <w:overflowPunct/>
        <w:topLinePunct w:val="0"/>
        <w:autoSpaceDE w:val="0"/>
        <w:autoSpaceDN w:val="0"/>
        <w:bidi w:val="0"/>
        <w:adjustRightInd w:val="0"/>
        <w:snapToGrid w:val="0"/>
        <w:spacing w:before="0" w:after="0" w:line="540" w:lineRule="exact"/>
        <w:ind w:left="23" w:firstLine="561"/>
        <w:jc w:val="both"/>
        <w:textAlignment w:val="baseline"/>
        <w:rPr>
          <w:rFonts w:hint="default"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项目依据《农业保险条例》、《中央财政农业保险费补贴管理办法》（财金〔2016〕123号）、《湖南省财政农业保险保费补贴管理办法》（湘财金〔2017〕24号）、《麻阳苗族自治县2022年农业保险实施方案》等实施。</w:t>
      </w:r>
    </w:p>
    <w:p>
      <w:pPr>
        <w:keepNext w:val="0"/>
        <w:keepLines w:val="0"/>
        <w:pageBreakBefore w:val="0"/>
        <w:widowControl w:val="0"/>
        <w:kinsoku w:val="0"/>
        <w:wordWrap/>
        <w:overflowPunct/>
        <w:topLinePunct w:val="0"/>
        <w:autoSpaceDE w:val="0"/>
        <w:autoSpaceDN w:val="0"/>
        <w:bidi w:val="0"/>
        <w:adjustRightInd w:val="0"/>
        <w:snapToGrid w:val="0"/>
        <w:spacing w:before="0" w:after="0" w:line="540" w:lineRule="exact"/>
        <w:ind w:left="23" w:firstLine="561"/>
        <w:jc w:val="both"/>
        <w:textAlignment w:val="baseline"/>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lang w:val="en-US" w:eastAsia="zh-CN"/>
        </w:rPr>
        <w:t>项目立项依据充分，依据评分标准</w:t>
      </w:r>
      <w:r>
        <w:rPr>
          <w:rFonts w:hint="eastAsia" w:ascii="仿宋" w:hAnsi="仿宋" w:eastAsia="仿宋" w:cs="仿宋"/>
          <w:color w:val="auto"/>
          <w:sz w:val="30"/>
          <w:szCs w:val="30"/>
          <w:highlight w:val="none"/>
        </w:rPr>
        <w:t xml:space="preserve">得 </w:t>
      </w:r>
      <w:r>
        <w:rPr>
          <w:rFonts w:hint="eastAsia" w:ascii="仿宋" w:hAnsi="仿宋" w:eastAsia="仿宋" w:cs="仿宋"/>
          <w:color w:val="auto"/>
          <w:sz w:val="30"/>
          <w:szCs w:val="30"/>
          <w:highlight w:val="none"/>
          <w:lang w:val="en-US" w:eastAsia="zh-CN"/>
        </w:rPr>
        <w:t>2</w:t>
      </w:r>
      <w:r>
        <w:rPr>
          <w:rFonts w:hint="eastAsia" w:ascii="仿宋" w:hAnsi="仿宋" w:eastAsia="仿宋" w:cs="仿宋"/>
          <w:color w:val="auto"/>
          <w:sz w:val="30"/>
          <w:szCs w:val="30"/>
          <w:highlight w:val="none"/>
        </w:rPr>
        <w:t xml:space="preserve"> 分 。</w:t>
      </w:r>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both"/>
        <w:textAlignment w:val="baseline"/>
        <w:rPr>
          <w:rFonts w:hint="eastAsia"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（2）立项程序规范性：</w:t>
      </w:r>
      <w:r>
        <w:rPr>
          <w:rFonts w:hint="eastAsia" w:ascii="仿宋" w:hAnsi="仿宋" w:eastAsia="仿宋" w:cs="仿宋"/>
          <w:color w:val="auto"/>
          <w:sz w:val="30"/>
          <w:szCs w:val="30"/>
          <w:highlight w:val="none"/>
        </w:rPr>
        <w:t xml:space="preserve">满分 </w:t>
      </w:r>
      <w:r>
        <w:rPr>
          <w:rFonts w:hint="eastAsia" w:ascii="仿宋" w:hAnsi="仿宋" w:eastAsia="仿宋" w:cs="仿宋"/>
          <w:color w:val="auto"/>
          <w:sz w:val="30"/>
          <w:szCs w:val="30"/>
          <w:highlight w:val="none"/>
          <w:lang w:val="en-US" w:eastAsia="zh-CN"/>
        </w:rPr>
        <w:t>2</w:t>
      </w:r>
      <w:r>
        <w:rPr>
          <w:rFonts w:hint="eastAsia" w:ascii="仿宋" w:hAnsi="仿宋" w:eastAsia="仿宋" w:cs="仿宋"/>
          <w:color w:val="auto"/>
          <w:sz w:val="30"/>
          <w:szCs w:val="30"/>
          <w:highlight w:val="none"/>
        </w:rPr>
        <w:t xml:space="preserve"> 分，得</w:t>
      </w:r>
      <w:r>
        <w:rPr>
          <w:rFonts w:hint="eastAsia" w:ascii="仿宋" w:hAnsi="仿宋" w:eastAsia="仿宋" w:cs="仿宋"/>
          <w:color w:val="auto"/>
          <w:sz w:val="30"/>
          <w:szCs w:val="30"/>
          <w:highlight w:val="none"/>
          <w:lang w:val="en-US" w:eastAsia="zh-CN"/>
        </w:rPr>
        <w:t>分</w:t>
      </w:r>
      <w:r>
        <w:rPr>
          <w:rFonts w:hint="eastAsia" w:ascii="仿宋" w:hAnsi="仿宋" w:eastAsia="仿宋" w:cs="仿宋"/>
          <w:color w:val="auto"/>
          <w:sz w:val="30"/>
          <w:szCs w:val="30"/>
          <w:highlight w:val="none"/>
        </w:rPr>
        <w:t xml:space="preserve"> </w:t>
      </w:r>
      <w:r>
        <w:rPr>
          <w:rFonts w:hint="eastAsia" w:ascii="仿宋" w:hAnsi="仿宋" w:eastAsia="仿宋" w:cs="仿宋"/>
          <w:color w:val="auto"/>
          <w:sz w:val="30"/>
          <w:szCs w:val="30"/>
          <w:highlight w:val="none"/>
          <w:lang w:val="en-US" w:eastAsia="zh-CN"/>
        </w:rPr>
        <w:t>2</w:t>
      </w:r>
      <w:r>
        <w:rPr>
          <w:rFonts w:hint="eastAsia" w:ascii="仿宋" w:hAnsi="仿宋" w:eastAsia="仿宋" w:cs="仿宋"/>
          <w:color w:val="auto"/>
          <w:sz w:val="30"/>
          <w:szCs w:val="30"/>
          <w:highlight w:val="none"/>
        </w:rPr>
        <w:t xml:space="preserve"> 分</w:t>
      </w:r>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both"/>
        <w:textAlignment w:val="baseline"/>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lang w:val="en-US" w:eastAsia="zh-CN"/>
        </w:rPr>
        <w:t>项目按照规定的程序申请设立；审批文件、材料符合相关要求。依据评分标准此项</w:t>
      </w:r>
      <w:r>
        <w:rPr>
          <w:rFonts w:hint="eastAsia" w:ascii="仿宋" w:hAnsi="仿宋" w:eastAsia="仿宋" w:cs="仿宋"/>
          <w:color w:val="auto"/>
          <w:sz w:val="30"/>
          <w:szCs w:val="30"/>
          <w:highlight w:val="none"/>
        </w:rPr>
        <w:t xml:space="preserve">得 </w:t>
      </w:r>
      <w:r>
        <w:rPr>
          <w:rFonts w:hint="eastAsia" w:ascii="仿宋" w:hAnsi="仿宋" w:eastAsia="仿宋" w:cs="仿宋"/>
          <w:color w:val="auto"/>
          <w:sz w:val="30"/>
          <w:szCs w:val="30"/>
          <w:highlight w:val="none"/>
          <w:lang w:val="en-US" w:eastAsia="zh-CN"/>
        </w:rPr>
        <w:t>2</w:t>
      </w:r>
      <w:r>
        <w:rPr>
          <w:rFonts w:hint="eastAsia" w:ascii="仿宋" w:hAnsi="仿宋" w:eastAsia="仿宋" w:cs="仿宋"/>
          <w:color w:val="auto"/>
          <w:sz w:val="30"/>
          <w:szCs w:val="30"/>
          <w:highlight w:val="none"/>
        </w:rPr>
        <w:t xml:space="preserve"> 分 。</w:t>
      </w:r>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both"/>
        <w:textAlignment w:val="baseline"/>
        <w:rPr>
          <w:rFonts w:hint="default"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2.绩效目标</w:t>
      </w:r>
      <w:r>
        <w:rPr>
          <w:rFonts w:hint="eastAsia" w:ascii="仿宋" w:hAnsi="仿宋" w:eastAsia="仿宋" w:cs="仿宋"/>
          <w:color w:val="auto"/>
          <w:sz w:val="30"/>
          <w:szCs w:val="30"/>
          <w:highlight w:val="none"/>
        </w:rPr>
        <w:t xml:space="preserve">（满分 </w:t>
      </w:r>
      <w:r>
        <w:rPr>
          <w:rFonts w:hint="eastAsia" w:ascii="仿宋" w:hAnsi="仿宋" w:eastAsia="仿宋" w:cs="仿宋"/>
          <w:color w:val="auto"/>
          <w:sz w:val="30"/>
          <w:szCs w:val="30"/>
          <w:highlight w:val="none"/>
          <w:lang w:val="en-US" w:eastAsia="zh-CN"/>
        </w:rPr>
        <w:t>6</w:t>
      </w:r>
      <w:r>
        <w:rPr>
          <w:rFonts w:hint="eastAsia" w:ascii="仿宋" w:hAnsi="仿宋" w:eastAsia="仿宋" w:cs="仿宋"/>
          <w:color w:val="auto"/>
          <w:sz w:val="30"/>
          <w:szCs w:val="30"/>
          <w:highlight w:val="none"/>
        </w:rPr>
        <w:t xml:space="preserve"> 分，得分</w:t>
      </w:r>
      <w:r>
        <w:rPr>
          <w:rFonts w:hint="eastAsia" w:ascii="仿宋" w:hAnsi="仿宋" w:eastAsia="仿宋" w:cs="仿宋"/>
          <w:color w:val="auto"/>
          <w:sz w:val="30"/>
          <w:szCs w:val="30"/>
          <w:highlight w:val="none"/>
          <w:lang w:val="en-US" w:eastAsia="zh-CN"/>
        </w:rPr>
        <w:t xml:space="preserve"> 6</w:t>
      </w:r>
      <w:r>
        <w:rPr>
          <w:rFonts w:hint="eastAsia" w:ascii="仿宋" w:hAnsi="仿宋" w:eastAsia="仿宋" w:cs="仿宋"/>
          <w:color w:val="auto"/>
          <w:sz w:val="30"/>
          <w:szCs w:val="30"/>
          <w:highlight w:val="none"/>
        </w:rPr>
        <w:t xml:space="preserve"> 分）</w:t>
      </w:r>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both"/>
        <w:textAlignment w:val="baseline"/>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w:t>
      </w:r>
      <w:r>
        <w:rPr>
          <w:rFonts w:hint="eastAsia" w:ascii="仿宋" w:hAnsi="仿宋" w:eastAsia="仿宋" w:cs="仿宋"/>
          <w:color w:val="auto"/>
          <w:sz w:val="30"/>
          <w:szCs w:val="30"/>
          <w:highlight w:val="none"/>
          <w:lang w:val="en-US" w:eastAsia="zh-CN"/>
        </w:rPr>
        <w:t>1</w:t>
      </w:r>
      <w:r>
        <w:rPr>
          <w:rFonts w:hint="eastAsia" w:ascii="仿宋" w:hAnsi="仿宋" w:eastAsia="仿宋" w:cs="仿宋"/>
          <w:color w:val="auto"/>
          <w:sz w:val="30"/>
          <w:szCs w:val="30"/>
          <w:highlight w:val="none"/>
        </w:rPr>
        <w:t xml:space="preserve">） 绩效目标合理性：满分 </w:t>
      </w:r>
      <w:r>
        <w:rPr>
          <w:rFonts w:hint="eastAsia" w:ascii="仿宋" w:hAnsi="仿宋" w:eastAsia="仿宋" w:cs="仿宋"/>
          <w:color w:val="auto"/>
          <w:sz w:val="30"/>
          <w:szCs w:val="30"/>
          <w:highlight w:val="none"/>
          <w:lang w:val="en-US" w:eastAsia="zh-CN"/>
        </w:rPr>
        <w:t>3</w:t>
      </w:r>
      <w:r>
        <w:rPr>
          <w:rFonts w:hint="eastAsia" w:ascii="仿宋" w:hAnsi="仿宋" w:eastAsia="仿宋" w:cs="仿宋"/>
          <w:color w:val="auto"/>
          <w:sz w:val="30"/>
          <w:szCs w:val="30"/>
          <w:highlight w:val="none"/>
        </w:rPr>
        <w:t xml:space="preserve"> 分，得</w:t>
      </w:r>
      <w:r>
        <w:rPr>
          <w:rFonts w:hint="eastAsia" w:ascii="仿宋" w:hAnsi="仿宋" w:eastAsia="仿宋" w:cs="仿宋"/>
          <w:color w:val="auto"/>
          <w:sz w:val="30"/>
          <w:szCs w:val="30"/>
          <w:highlight w:val="none"/>
          <w:lang w:val="en-US" w:eastAsia="zh-CN"/>
        </w:rPr>
        <w:t xml:space="preserve"> 3</w:t>
      </w:r>
      <w:r>
        <w:rPr>
          <w:rFonts w:hint="eastAsia" w:ascii="仿宋" w:hAnsi="仿宋" w:eastAsia="仿宋" w:cs="仿宋"/>
          <w:color w:val="auto"/>
          <w:sz w:val="30"/>
          <w:szCs w:val="30"/>
          <w:highlight w:val="none"/>
        </w:rPr>
        <w:t xml:space="preserve"> 分</w:t>
      </w:r>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both"/>
        <w:textAlignment w:val="baseline"/>
        <w:rPr>
          <w:rFonts w:hint="default"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绩效目标</w:t>
      </w:r>
      <w:r>
        <w:rPr>
          <w:rFonts w:hint="eastAsia" w:ascii="仿宋" w:hAnsi="仿宋" w:eastAsia="仿宋" w:cs="仿宋"/>
          <w:color w:val="auto"/>
          <w:sz w:val="30"/>
          <w:szCs w:val="30"/>
          <w:highlight w:val="none"/>
          <w:lang w:eastAsia="zh-CN"/>
        </w:rPr>
        <w:t>与预算确定的资金量相匹配，与实施内容相关。</w:t>
      </w:r>
      <w:r>
        <w:rPr>
          <w:rFonts w:hint="eastAsia" w:ascii="仿宋" w:hAnsi="仿宋" w:eastAsia="仿宋" w:cs="仿宋"/>
          <w:color w:val="auto"/>
          <w:sz w:val="30"/>
          <w:szCs w:val="30"/>
          <w:highlight w:val="none"/>
          <w:lang w:val="en-US" w:eastAsia="zh-CN"/>
        </w:rPr>
        <w:t>依评分标准此项得 3 分。</w:t>
      </w:r>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both"/>
        <w:textAlignment w:val="baseline"/>
        <w:rPr>
          <w:rFonts w:hint="eastAsia"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eastAsia="zh-CN"/>
        </w:rPr>
        <w:t>（</w:t>
      </w:r>
      <w:r>
        <w:rPr>
          <w:rFonts w:hint="eastAsia" w:ascii="仿宋" w:hAnsi="仿宋" w:eastAsia="仿宋" w:cs="仿宋"/>
          <w:color w:val="auto"/>
          <w:sz w:val="30"/>
          <w:szCs w:val="30"/>
          <w:highlight w:val="none"/>
          <w:lang w:val="en-US" w:eastAsia="zh-CN"/>
        </w:rPr>
        <w:t>2</w:t>
      </w:r>
      <w:r>
        <w:rPr>
          <w:rFonts w:hint="eastAsia" w:ascii="仿宋" w:hAnsi="仿宋" w:eastAsia="仿宋" w:cs="仿宋"/>
          <w:color w:val="auto"/>
          <w:sz w:val="30"/>
          <w:szCs w:val="30"/>
          <w:highlight w:val="none"/>
          <w:lang w:eastAsia="zh-CN"/>
        </w:rPr>
        <w:t>）</w:t>
      </w:r>
      <w:r>
        <w:rPr>
          <w:rFonts w:hint="eastAsia" w:ascii="仿宋" w:hAnsi="仿宋" w:eastAsia="仿宋" w:cs="仿宋"/>
          <w:color w:val="auto"/>
          <w:sz w:val="30"/>
          <w:szCs w:val="30"/>
          <w:highlight w:val="none"/>
          <w:lang w:val="en-US" w:eastAsia="zh-CN"/>
        </w:rPr>
        <w:t>绩效指标明确性：满分 3 分，</w:t>
      </w:r>
      <w:r>
        <w:rPr>
          <w:rFonts w:hint="eastAsia" w:ascii="仿宋" w:hAnsi="仿宋" w:eastAsia="仿宋" w:cs="仿宋"/>
          <w:color w:val="auto"/>
          <w:sz w:val="30"/>
          <w:szCs w:val="30"/>
          <w:highlight w:val="none"/>
        </w:rPr>
        <w:t>得</w:t>
      </w:r>
      <w:r>
        <w:rPr>
          <w:rFonts w:hint="eastAsia" w:ascii="仿宋" w:hAnsi="仿宋" w:eastAsia="仿宋" w:cs="仿宋"/>
          <w:color w:val="auto"/>
          <w:sz w:val="30"/>
          <w:szCs w:val="30"/>
          <w:highlight w:val="none"/>
          <w:lang w:val="en-US" w:eastAsia="zh-CN"/>
        </w:rPr>
        <w:t xml:space="preserve"> 3</w:t>
      </w:r>
      <w:r>
        <w:rPr>
          <w:rFonts w:hint="eastAsia" w:ascii="仿宋" w:hAnsi="仿宋" w:eastAsia="仿宋" w:cs="仿宋"/>
          <w:color w:val="auto"/>
          <w:sz w:val="30"/>
          <w:szCs w:val="30"/>
          <w:highlight w:val="none"/>
        </w:rPr>
        <w:t xml:space="preserve"> 分</w:t>
      </w:r>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both"/>
        <w:textAlignment w:val="baseline"/>
        <w:rPr>
          <w:rFonts w:hint="default"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项目绩效目标细化分解为具体的绩效指标；绩效指标通过清晰、可衡量的指标值予以体现；与目标任务数相对应。依评分标准此项得 3 分。</w:t>
      </w:r>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both"/>
        <w:textAlignment w:val="baseline"/>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lang w:val="en-US" w:eastAsia="zh-CN"/>
        </w:rPr>
        <w:t>3</w:t>
      </w:r>
      <w:r>
        <w:rPr>
          <w:rFonts w:hint="eastAsia" w:ascii="仿宋" w:hAnsi="仿宋" w:eastAsia="仿宋" w:cs="仿宋"/>
          <w:color w:val="auto"/>
          <w:sz w:val="30"/>
          <w:szCs w:val="30"/>
          <w:highlight w:val="none"/>
        </w:rPr>
        <w:t>、</w:t>
      </w:r>
      <w:r>
        <w:rPr>
          <w:rFonts w:hint="eastAsia" w:ascii="仿宋" w:hAnsi="仿宋" w:eastAsia="仿宋" w:cs="仿宋"/>
          <w:color w:val="auto"/>
          <w:sz w:val="30"/>
          <w:szCs w:val="30"/>
          <w:highlight w:val="none"/>
          <w:lang w:val="en-US" w:eastAsia="zh-CN"/>
        </w:rPr>
        <w:t>资金投入</w:t>
      </w:r>
      <w:r>
        <w:rPr>
          <w:rFonts w:hint="eastAsia" w:ascii="仿宋" w:hAnsi="仿宋" w:eastAsia="仿宋" w:cs="仿宋"/>
          <w:color w:val="auto"/>
          <w:sz w:val="30"/>
          <w:szCs w:val="30"/>
          <w:highlight w:val="none"/>
        </w:rPr>
        <w:t xml:space="preserve">（满分 </w:t>
      </w:r>
      <w:r>
        <w:rPr>
          <w:rFonts w:hint="eastAsia" w:ascii="仿宋" w:hAnsi="仿宋" w:eastAsia="仿宋" w:cs="仿宋"/>
          <w:color w:val="auto"/>
          <w:sz w:val="30"/>
          <w:szCs w:val="30"/>
          <w:highlight w:val="none"/>
          <w:lang w:val="en-US" w:eastAsia="zh-CN"/>
        </w:rPr>
        <w:t>5</w:t>
      </w:r>
      <w:r>
        <w:rPr>
          <w:rFonts w:hint="eastAsia" w:ascii="仿宋" w:hAnsi="仿宋" w:eastAsia="仿宋" w:cs="仿宋"/>
          <w:color w:val="auto"/>
          <w:sz w:val="30"/>
          <w:szCs w:val="30"/>
          <w:highlight w:val="none"/>
        </w:rPr>
        <w:t xml:space="preserve"> 分，得分 </w:t>
      </w:r>
      <w:r>
        <w:rPr>
          <w:rFonts w:hint="eastAsia" w:ascii="仿宋" w:hAnsi="仿宋" w:eastAsia="仿宋" w:cs="仿宋"/>
          <w:color w:val="auto"/>
          <w:sz w:val="30"/>
          <w:szCs w:val="30"/>
          <w:highlight w:val="none"/>
          <w:lang w:val="en-US" w:eastAsia="zh-CN"/>
        </w:rPr>
        <w:t>5</w:t>
      </w:r>
      <w:r>
        <w:rPr>
          <w:rFonts w:hint="eastAsia" w:ascii="仿宋" w:hAnsi="仿宋" w:eastAsia="仿宋" w:cs="仿宋"/>
          <w:color w:val="auto"/>
          <w:sz w:val="30"/>
          <w:szCs w:val="30"/>
          <w:highlight w:val="none"/>
        </w:rPr>
        <w:t xml:space="preserve"> 分）</w:t>
      </w:r>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both"/>
        <w:textAlignment w:val="baseline"/>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预算编制</w:t>
      </w:r>
      <w:r>
        <w:rPr>
          <w:rFonts w:hint="eastAsia" w:ascii="仿宋" w:hAnsi="仿宋" w:eastAsia="仿宋" w:cs="仿宋"/>
          <w:color w:val="auto"/>
          <w:sz w:val="30"/>
          <w:szCs w:val="30"/>
          <w:highlight w:val="none"/>
          <w:lang w:val="en-US" w:eastAsia="zh-CN"/>
        </w:rPr>
        <w:t>科学</w:t>
      </w:r>
      <w:r>
        <w:rPr>
          <w:rFonts w:hint="eastAsia" w:ascii="仿宋" w:hAnsi="仿宋" w:eastAsia="仿宋" w:cs="仿宋"/>
          <w:color w:val="auto"/>
          <w:sz w:val="30"/>
          <w:szCs w:val="30"/>
          <w:highlight w:val="none"/>
        </w:rPr>
        <w:t xml:space="preserve">性：满分 </w:t>
      </w:r>
      <w:r>
        <w:rPr>
          <w:rFonts w:hint="eastAsia" w:ascii="仿宋" w:hAnsi="仿宋" w:eastAsia="仿宋" w:cs="仿宋"/>
          <w:color w:val="auto"/>
          <w:sz w:val="30"/>
          <w:szCs w:val="30"/>
          <w:highlight w:val="none"/>
          <w:lang w:val="en-US" w:eastAsia="zh-CN"/>
        </w:rPr>
        <w:t>5</w:t>
      </w:r>
      <w:r>
        <w:rPr>
          <w:rFonts w:hint="eastAsia" w:ascii="仿宋" w:hAnsi="仿宋" w:eastAsia="仿宋" w:cs="仿宋"/>
          <w:color w:val="auto"/>
          <w:sz w:val="30"/>
          <w:szCs w:val="30"/>
          <w:highlight w:val="none"/>
        </w:rPr>
        <w:t xml:space="preserve"> 分，得分 </w:t>
      </w:r>
      <w:r>
        <w:rPr>
          <w:rFonts w:hint="eastAsia" w:ascii="仿宋" w:hAnsi="仿宋" w:eastAsia="仿宋" w:cs="仿宋"/>
          <w:color w:val="auto"/>
          <w:sz w:val="30"/>
          <w:szCs w:val="30"/>
          <w:highlight w:val="none"/>
          <w:lang w:val="en-US" w:eastAsia="zh-CN"/>
        </w:rPr>
        <w:t xml:space="preserve">5 </w:t>
      </w:r>
      <w:r>
        <w:rPr>
          <w:rFonts w:hint="eastAsia" w:ascii="仿宋" w:hAnsi="仿宋" w:eastAsia="仿宋" w:cs="仿宋"/>
          <w:color w:val="auto"/>
          <w:sz w:val="30"/>
          <w:szCs w:val="30"/>
          <w:highlight w:val="none"/>
        </w:rPr>
        <w:t>分</w:t>
      </w:r>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both"/>
        <w:textAlignment w:val="baseline"/>
        <w:rPr>
          <w:rFonts w:hint="default"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《麻阳苗族自治县2022年农业保险实施方案》对2022年农业保险资金作出了周密详实的预算。</w:t>
      </w:r>
    </w:p>
    <w:p>
      <w:pPr>
        <w:keepNext w:val="0"/>
        <w:keepLines w:val="0"/>
        <w:pageBreakBefore w:val="0"/>
        <w:widowControl w:val="0"/>
        <w:kinsoku w:val="0"/>
        <w:wordWrap/>
        <w:overflowPunct/>
        <w:topLinePunct w:val="0"/>
        <w:autoSpaceDE w:val="0"/>
        <w:autoSpaceDN w:val="0"/>
        <w:bidi w:val="0"/>
        <w:adjustRightInd w:val="0"/>
        <w:snapToGrid w:val="0"/>
        <w:spacing w:before="0" w:after="0" w:line="540" w:lineRule="exact"/>
        <w:ind w:left="23" w:firstLine="561"/>
        <w:jc w:val="both"/>
        <w:textAlignment w:val="baseline"/>
        <w:rPr>
          <w:rFonts w:hint="default" w:ascii="仿宋" w:hAnsi="仿宋" w:eastAsia="仿宋" w:cs="仿宋"/>
          <w:color w:val="auto"/>
          <w:spacing w:val="-20"/>
          <w:sz w:val="30"/>
          <w:szCs w:val="30"/>
          <w:highlight w:val="none"/>
          <w:lang w:val="en-US" w:eastAsia="zh-CN"/>
        </w:rPr>
      </w:pPr>
      <w:r>
        <w:rPr>
          <w:rFonts w:hint="eastAsia" w:ascii="仿宋" w:hAnsi="仿宋" w:eastAsia="仿宋" w:cs="仿宋"/>
          <w:color w:val="auto"/>
          <w:sz w:val="30"/>
          <w:szCs w:val="30"/>
          <w:highlight w:val="none"/>
          <w:lang w:val="en-US" w:eastAsia="zh-CN"/>
        </w:rPr>
        <w:t>预算内容与项目内容匹配；预算额度按照标准编制、测算依据充分；预算确定的项目投资额或资金量与工作任务相匹配，依据评分标准得 5 分。</w:t>
      </w:r>
    </w:p>
    <w:p>
      <w:pPr>
        <w:pStyle w:val="3"/>
        <w:keepNext/>
        <w:keepLines/>
        <w:pageBreakBefore w:val="0"/>
        <w:widowControl w:val="0"/>
        <w:kinsoku/>
        <w:wordWrap/>
        <w:overflowPunct/>
        <w:topLinePunct w:val="0"/>
        <w:autoSpaceDE/>
        <w:autoSpaceDN/>
        <w:bidi w:val="0"/>
        <w:adjustRightInd/>
        <w:snapToGrid/>
        <w:spacing w:before="0" w:beforeAutospacing="0" w:after="0" w:afterAutospacing="0" w:line="360" w:lineRule="auto"/>
        <w:ind w:firstLine="643" w:firstLineChars="200"/>
        <w:jc w:val="both"/>
        <w:textAlignment w:val="auto"/>
        <w:outlineLvl w:val="1"/>
        <w:rPr>
          <w:rFonts w:hint="eastAsia" w:ascii="Cambria" w:hAnsi="Cambria" w:eastAsia="楷体_GB2312" w:cs="Times New Roman"/>
          <w:bCs/>
          <w:snapToGrid/>
          <w:kern w:val="2"/>
          <w:sz w:val="32"/>
          <w:szCs w:val="32"/>
          <w:lang w:val="en-US" w:eastAsia="zh-CN" w:bidi="ar-SA"/>
        </w:rPr>
      </w:pPr>
      <w:bookmarkStart w:id="14" w:name="_Toc583"/>
      <w:r>
        <w:rPr>
          <w:rFonts w:hint="eastAsia" w:ascii="Cambria" w:hAnsi="Cambria" w:eastAsia="楷体_GB2312" w:cs="Times New Roman"/>
          <w:bCs/>
          <w:snapToGrid/>
          <w:kern w:val="2"/>
          <w:sz w:val="32"/>
          <w:szCs w:val="32"/>
          <w:lang w:val="en-US" w:eastAsia="zh-CN" w:bidi="ar-SA"/>
        </w:rPr>
        <w:t>（二） 过程</w:t>
      </w:r>
      <w:bookmarkEnd w:id="14"/>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both"/>
        <w:textAlignment w:val="baseline"/>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根据</w:t>
      </w:r>
      <w:r>
        <w:rPr>
          <w:rFonts w:hint="eastAsia" w:ascii="仿宋" w:hAnsi="仿宋" w:eastAsia="仿宋" w:cs="仿宋"/>
          <w:color w:val="auto"/>
          <w:sz w:val="30"/>
          <w:szCs w:val="30"/>
          <w:highlight w:val="none"/>
          <w:lang w:val="en-US" w:eastAsia="zh-CN"/>
        </w:rPr>
        <w:t>评分标准</w:t>
      </w:r>
      <w:r>
        <w:rPr>
          <w:rFonts w:hint="eastAsia" w:ascii="仿宋" w:hAnsi="仿宋" w:eastAsia="仿宋" w:cs="仿宋"/>
          <w:color w:val="auto"/>
          <w:sz w:val="30"/>
          <w:szCs w:val="30"/>
          <w:highlight w:val="none"/>
        </w:rPr>
        <w:t>，</w:t>
      </w:r>
      <w:r>
        <w:rPr>
          <w:rFonts w:hint="eastAsia" w:ascii="仿宋" w:hAnsi="仿宋" w:eastAsia="仿宋" w:cs="仿宋"/>
          <w:color w:val="auto"/>
          <w:sz w:val="30"/>
          <w:szCs w:val="30"/>
          <w:highlight w:val="none"/>
          <w:lang w:val="en-US" w:eastAsia="zh-CN"/>
        </w:rPr>
        <w:t>过程</w:t>
      </w:r>
      <w:r>
        <w:rPr>
          <w:rFonts w:hint="eastAsia" w:ascii="仿宋" w:hAnsi="仿宋" w:eastAsia="仿宋" w:cs="仿宋"/>
          <w:color w:val="auto"/>
          <w:sz w:val="30"/>
          <w:szCs w:val="30"/>
          <w:highlight w:val="none"/>
        </w:rPr>
        <w:t xml:space="preserve">评价总分 </w:t>
      </w:r>
      <w:r>
        <w:rPr>
          <w:rFonts w:hint="eastAsia" w:ascii="仿宋" w:hAnsi="仿宋" w:eastAsia="仿宋" w:cs="仿宋"/>
          <w:color w:val="auto"/>
          <w:sz w:val="30"/>
          <w:szCs w:val="30"/>
          <w:highlight w:val="none"/>
          <w:lang w:val="en-US" w:eastAsia="zh-CN"/>
        </w:rPr>
        <w:t>25</w:t>
      </w:r>
      <w:r>
        <w:rPr>
          <w:rFonts w:hint="eastAsia" w:ascii="仿宋" w:hAnsi="仿宋" w:eastAsia="仿宋" w:cs="仿宋"/>
          <w:color w:val="auto"/>
          <w:sz w:val="30"/>
          <w:szCs w:val="30"/>
          <w:highlight w:val="none"/>
        </w:rPr>
        <w:t xml:space="preserve"> 分，得 </w:t>
      </w:r>
      <w:r>
        <w:rPr>
          <w:rFonts w:hint="eastAsia" w:ascii="仿宋" w:hAnsi="仿宋" w:eastAsia="仿宋" w:cs="仿宋"/>
          <w:color w:val="auto"/>
          <w:sz w:val="30"/>
          <w:szCs w:val="30"/>
          <w:highlight w:val="none"/>
          <w:lang w:val="en-US" w:eastAsia="zh-CN"/>
        </w:rPr>
        <w:t>25</w:t>
      </w:r>
      <w:r>
        <w:rPr>
          <w:rFonts w:hint="eastAsia" w:ascii="仿宋" w:hAnsi="仿宋" w:eastAsia="仿宋" w:cs="仿宋"/>
          <w:color w:val="auto"/>
          <w:sz w:val="30"/>
          <w:szCs w:val="30"/>
          <w:highlight w:val="none"/>
        </w:rPr>
        <w:t xml:space="preserve"> 分</w:t>
      </w:r>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both"/>
        <w:textAlignment w:val="baseline"/>
        <w:rPr>
          <w:rFonts w:hint="default"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1、资金管理</w:t>
      </w:r>
      <w:r>
        <w:rPr>
          <w:rFonts w:hint="eastAsia" w:ascii="仿宋" w:hAnsi="仿宋" w:eastAsia="仿宋" w:cs="仿宋"/>
          <w:color w:val="auto"/>
          <w:sz w:val="30"/>
          <w:szCs w:val="30"/>
          <w:highlight w:val="none"/>
        </w:rPr>
        <w:t xml:space="preserve">（满分 </w:t>
      </w:r>
      <w:r>
        <w:rPr>
          <w:rFonts w:hint="eastAsia" w:ascii="仿宋" w:hAnsi="仿宋" w:eastAsia="仿宋" w:cs="仿宋"/>
          <w:color w:val="auto"/>
          <w:sz w:val="30"/>
          <w:szCs w:val="30"/>
          <w:highlight w:val="none"/>
          <w:lang w:val="en-US" w:eastAsia="zh-CN"/>
        </w:rPr>
        <w:t>15</w:t>
      </w:r>
      <w:r>
        <w:rPr>
          <w:rFonts w:hint="eastAsia" w:ascii="仿宋" w:hAnsi="仿宋" w:eastAsia="仿宋" w:cs="仿宋"/>
          <w:color w:val="auto"/>
          <w:sz w:val="30"/>
          <w:szCs w:val="30"/>
          <w:highlight w:val="none"/>
        </w:rPr>
        <w:t xml:space="preserve"> 分，得分 </w:t>
      </w:r>
      <w:r>
        <w:rPr>
          <w:rFonts w:hint="eastAsia" w:ascii="仿宋" w:hAnsi="仿宋" w:eastAsia="仿宋" w:cs="仿宋"/>
          <w:color w:val="auto"/>
          <w:sz w:val="30"/>
          <w:szCs w:val="30"/>
          <w:highlight w:val="none"/>
          <w:lang w:val="en-US" w:eastAsia="zh-CN"/>
        </w:rPr>
        <w:t>15</w:t>
      </w:r>
      <w:r>
        <w:rPr>
          <w:rFonts w:hint="eastAsia" w:ascii="仿宋" w:hAnsi="仿宋" w:eastAsia="仿宋" w:cs="仿宋"/>
          <w:color w:val="auto"/>
          <w:sz w:val="30"/>
          <w:szCs w:val="30"/>
          <w:highlight w:val="none"/>
        </w:rPr>
        <w:t xml:space="preserve"> 分）</w:t>
      </w:r>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both"/>
        <w:textAlignment w:val="baseline"/>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lang w:val="en-US" w:eastAsia="zh-CN"/>
        </w:rPr>
        <w:t>（1）</w:t>
      </w:r>
      <w:r>
        <w:rPr>
          <w:rFonts w:hint="eastAsia" w:ascii="仿宋" w:hAnsi="仿宋" w:eastAsia="仿宋" w:cs="仿宋"/>
          <w:color w:val="auto"/>
          <w:sz w:val="30"/>
          <w:szCs w:val="30"/>
          <w:highlight w:val="none"/>
        </w:rPr>
        <w:t>资金到位</w:t>
      </w:r>
      <w:r>
        <w:rPr>
          <w:rFonts w:hint="eastAsia" w:ascii="仿宋" w:hAnsi="仿宋" w:eastAsia="仿宋" w:cs="仿宋"/>
          <w:color w:val="auto"/>
          <w:sz w:val="30"/>
          <w:szCs w:val="30"/>
          <w:highlight w:val="none"/>
          <w:lang w:val="en-US" w:eastAsia="zh-CN"/>
        </w:rPr>
        <w:t>率</w:t>
      </w:r>
      <w:r>
        <w:rPr>
          <w:rFonts w:hint="eastAsia" w:ascii="仿宋" w:hAnsi="仿宋" w:eastAsia="仿宋" w:cs="仿宋"/>
          <w:color w:val="auto"/>
          <w:sz w:val="30"/>
          <w:szCs w:val="30"/>
          <w:highlight w:val="none"/>
        </w:rPr>
        <w:t xml:space="preserve">：满分 </w:t>
      </w:r>
      <w:r>
        <w:rPr>
          <w:rFonts w:hint="eastAsia" w:ascii="仿宋" w:hAnsi="仿宋" w:eastAsia="仿宋" w:cs="仿宋"/>
          <w:color w:val="auto"/>
          <w:sz w:val="30"/>
          <w:szCs w:val="30"/>
          <w:highlight w:val="none"/>
          <w:lang w:val="en-US" w:eastAsia="zh-CN"/>
        </w:rPr>
        <w:t xml:space="preserve">5 </w:t>
      </w:r>
      <w:r>
        <w:rPr>
          <w:rFonts w:hint="eastAsia" w:ascii="仿宋" w:hAnsi="仿宋" w:eastAsia="仿宋" w:cs="仿宋"/>
          <w:color w:val="auto"/>
          <w:sz w:val="30"/>
          <w:szCs w:val="30"/>
          <w:highlight w:val="none"/>
        </w:rPr>
        <w:t xml:space="preserve">分，得分 </w:t>
      </w:r>
      <w:r>
        <w:rPr>
          <w:rFonts w:hint="eastAsia" w:ascii="仿宋" w:hAnsi="仿宋" w:eastAsia="仿宋" w:cs="仿宋"/>
          <w:color w:val="auto"/>
          <w:sz w:val="30"/>
          <w:szCs w:val="30"/>
          <w:highlight w:val="none"/>
          <w:lang w:val="en-US" w:eastAsia="zh-CN"/>
        </w:rPr>
        <w:t>5</w:t>
      </w:r>
      <w:r>
        <w:rPr>
          <w:rFonts w:hint="eastAsia" w:ascii="仿宋" w:hAnsi="仿宋" w:eastAsia="仿宋" w:cs="仿宋"/>
          <w:color w:val="auto"/>
          <w:sz w:val="30"/>
          <w:szCs w:val="30"/>
          <w:highlight w:val="none"/>
        </w:rPr>
        <w:t xml:space="preserve"> 分</w:t>
      </w:r>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both"/>
        <w:textAlignment w:val="baseline"/>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根据</w:t>
      </w:r>
      <w:r>
        <w:rPr>
          <w:rFonts w:hint="eastAsia" w:ascii="仿宋" w:hAnsi="仿宋" w:eastAsia="仿宋" w:cs="仿宋"/>
          <w:color w:val="auto"/>
          <w:sz w:val="30"/>
          <w:szCs w:val="30"/>
          <w:highlight w:val="none"/>
          <w:lang w:val="en-US" w:eastAsia="zh-CN"/>
        </w:rPr>
        <w:t>麻阳苗族自治县财政局</w:t>
      </w:r>
      <w:r>
        <w:rPr>
          <w:rFonts w:hint="eastAsia" w:ascii="仿宋" w:hAnsi="仿宋" w:eastAsia="仿宋" w:cs="仿宋"/>
          <w:color w:val="auto"/>
          <w:sz w:val="30"/>
          <w:szCs w:val="30"/>
          <w:highlight w:val="none"/>
        </w:rPr>
        <w:t>提供的资料、资金明细账、财务凭证等资料，</w:t>
      </w:r>
      <w:r>
        <w:rPr>
          <w:rFonts w:hint="eastAsia" w:ascii="仿宋" w:hAnsi="仿宋" w:eastAsia="仿宋" w:cs="仿宋"/>
          <w:color w:val="auto"/>
          <w:sz w:val="30"/>
          <w:szCs w:val="30"/>
          <w:highlight w:val="none"/>
          <w:lang w:val="en-US" w:eastAsia="zh-CN"/>
        </w:rPr>
        <w:t>2022年农业保险资金实际到位902.31万元，资金到位率100%。依据评分标准此项</w:t>
      </w:r>
      <w:r>
        <w:rPr>
          <w:rFonts w:hint="eastAsia" w:ascii="仿宋" w:hAnsi="仿宋" w:eastAsia="仿宋" w:cs="仿宋"/>
          <w:color w:val="auto"/>
          <w:sz w:val="30"/>
          <w:szCs w:val="30"/>
          <w:highlight w:val="none"/>
        </w:rPr>
        <w:t xml:space="preserve">得 </w:t>
      </w:r>
      <w:r>
        <w:rPr>
          <w:rFonts w:hint="eastAsia" w:ascii="仿宋" w:hAnsi="仿宋" w:eastAsia="仿宋" w:cs="仿宋"/>
          <w:color w:val="auto"/>
          <w:sz w:val="30"/>
          <w:szCs w:val="30"/>
          <w:highlight w:val="none"/>
          <w:lang w:val="en-US" w:eastAsia="zh-CN"/>
        </w:rPr>
        <w:t xml:space="preserve">5 </w:t>
      </w:r>
      <w:r>
        <w:rPr>
          <w:rFonts w:hint="eastAsia" w:ascii="仿宋" w:hAnsi="仿宋" w:eastAsia="仿宋" w:cs="仿宋"/>
          <w:color w:val="auto"/>
          <w:sz w:val="30"/>
          <w:szCs w:val="30"/>
          <w:highlight w:val="none"/>
        </w:rPr>
        <w:t>分。</w:t>
      </w:r>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both"/>
        <w:textAlignment w:val="baseline"/>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lang w:val="en-US" w:eastAsia="zh-CN"/>
        </w:rPr>
        <w:t>（2）</w:t>
      </w:r>
      <w:r>
        <w:rPr>
          <w:rFonts w:hint="eastAsia" w:ascii="仿宋" w:hAnsi="仿宋" w:eastAsia="仿宋" w:cs="仿宋"/>
          <w:color w:val="auto"/>
          <w:sz w:val="30"/>
          <w:szCs w:val="30"/>
          <w:highlight w:val="none"/>
        </w:rPr>
        <w:t xml:space="preserve">预算执行率：满分 </w:t>
      </w:r>
      <w:r>
        <w:rPr>
          <w:rFonts w:hint="eastAsia" w:ascii="仿宋" w:hAnsi="仿宋" w:eastAsia="仿宋" w:cs="仿宋"/>
          <w:color w:val="auto"/>
          <w:sz w:val="30"/>
          <w:szCs w:val="30"/>
          <w:highlight w:val="none"/>
          <w:lang w:val="en-US" w:eastAsia="zh-CN"/>
        </w:rPr>
        <w:t>5</w:t>
      </w:r>
      <w:r>
        <w:rPr>
          <w:rFonts w:hint="eastAsia" w:ascii="仿宋" w:hAnsi="仿宋" w:eastAsia="仿宋" w:cs="仿宋"/>
          <w:color w:val="auto"/>
          <w:sz w:val="30"/>
          <w:szCs w:val="30"/>
          <w:highlight w:val="none"/>
        </w:rPr>
        <w:t xml:space="preserve"> 分，得分</w:t>
      </w:r>
      <w:r>
        <w:rPr>
          <w:rFonts w:hint="eastAsia" w:ascii="仿宋" w:hAnsi="仿宋" w:eastAsia="仿宋" w:cs="仿宋"/>
          <w:color w:val="auto"/>
          <w:sz w:val="30"/>
          <w:szCs w:val="30"/>
          <w:highlight w:val="none"/>
          <w:lang w:val="en-US" w:eastAsia="zh-CN"/>
        </w:rPr>
        <w:t xml:space="preserve"> 5 </w:t>
      </w:r>
      <w:r>
        <w:rPr>
          <w:rFonts w:hint="eastAsia" w:ascii="仿宋" w:hAnsi="仿宋" w:eastAsia="仿宋" w:cs="仿宋"/>
          <w:color w:val="auto"/>
          <w:sz w:val="30"/>
          <w:szCs w:val="30"/>
          <w:highlight w:val="none"/>
        </w:rPr>
        <w:t>分</w:t>
      </w:r>
    </w:p>
    <w:p>
      <w:pPr>
        <w:keepNext w:val="0"/>
        <w:keepLines w:val="0"/>
        <w:pageBreakBefore w:val="0"/>
        <w:widowControl w:val="0"/>
        <w:kinsoku w:val="0"/>
        <w:wordWrap/>
        <w:overflowPunct/>
        <w:topLinePunct w:val="0"/>
        <w:autoSpaceDE w:val="0"/>
        <w:autoSpaceDN w:val="0"/>
        <w:bidi w:val="0"/>
        <w:adjustRightInd w:val="0"/>
        <w:snapToGrid w:val="0"/>
        <w:spacing w:before="0" w:after="0" w:line="540" w:lineRule="exact"/>
        <w:ind w:left="23" w:firstLine="561"/>
        <w:jc w:val="both"/>
        <w:textAlignment w:val="baseline"/>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根据</w:t>
      </w:r>
      <w:r>
        <w:rPr>
          <w:rFonts w:hint="eastAsia" w:ascii="仿宋" w:hAnsi="仿宋" w:eastAsia="仿宋" w:cs="仿宋"/>
          <w:color w:val="auto"/>
          <w:sz w:val="30"/>
          <w:szCs w:val="30"/>
          <w:highlight w:val="none"/>
          <w:lang w:val="en-US" w:eastAsia="zh-CN"/>
        </w:rPr>
        <w:t>麻阳苗族自治县财政局</w:t>
      </w:r>
      <w:r>
        <w:rPr>
          <w:rFonts w:hint="eastAsia" w:ascii="仿宋" w:hAnsi="仿宋" w:eastAsia="仿宋" w:cs="仿宋"/>
          <w:color w:val="auto"/>
          <w:sz w:val="30"/>
          <w:szCs w:val="30"/>
          <w:highlight w:val="none"/>
        </w:rPr>
        <w:t>提供的资料、资金明细账、财务凭证等资料</w:t>
      </w:r>
      <w:r>
        <w:rPr>
          <w:rFonts w:hint="eastAsia" w:ascii="仿宋" w:hAnsi="仿宋" w:eastAsia="仿宋" w:cs="仿宋"/>
          <w:color w:val="auto"/>
          <w:sz w:val="30"/>
          <w:szCs w:val="30"/>
          <w:highlight w:val="none"/>
          <w:lang w:val="en-US" w:eastAsia="zh-CN"/>
        </w:rPr>
        <w:t>,麻阳苗族自治县财政局实际支付给中国人民财产保险股份有限公司麻阳支公司、中华联合财产保险股份有限公司麻阳县支公司、中国太平洋财产保险股份有限公司麻阳支公司2022年农业保险资金902.31万元,预算执行率100%。依据评分标准</w:t>
      </w:r>
      <w:r>
        <w:rPr>
          <w:rFonts w:hint="eastAsia" w:ascii="仿宋" w:hAnsi="仿宋" w:eastAsia="仿宋" w:cs="仿宋"/>
          <w:color w:val="auto"/>
          <w:sz w:val="30"/>
          <w:szCs w:val="30"/>
          <w:highlight w:val="none"/>
        </w:rPr>
        <w:t xml:space="preserve">得 </w:t>
      </w:r>
      <w:r>
        <w:rPr>
          <w:rFonts w:hint="eastAsia" w:ascii="仿宋" w:hAnsi="仿宋" w:eastAsia="仿宋" w:cs="仿宋"/>
          <w:color w:val="auto"/>
          <w:sz w:val="30"/>
          <w:szCs w:val="30"/>
          <w:highlight w:val="none"/>
          <w:lang w:val="en-US" w:eastAsia="zh-CN"/>
        </w:rPr>
        <w:t xml:space="preserve">5 </w:t>
      </w:r>
      <w:r>
        <w:rPr>
          <w:rFonts w:hint="eastAsia" w:ascii="仿宋" w:hAnsi="仿宋" w:eastAsia="仿宋" w:cs="仿宋"/>
          <w:color w:val="auto"/>
          <w:sz w:val="30"/>
          <w:szCs w:val="30"/>
          <w:highlight w:val="none"/>
        </w:rPr>
        <w:t>分。</w:t>
      </w:r>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both"/>
        <w:textAlignment w:val="baseline"/>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w:t>
      </w:r>
      <w:r>
        <w:rPr>
          <w:rFonts w:hint="eastAsia" w:ascii="仿宋" w:hAnsi="仿宋" w:eastAsia="仿宋" w:cs="仿宋"/>
          <w:color w:val="auto"/>
          <w:sz w:val="30"/>
          <w:szCs w:val="30"/>
          <w:highlight w:val="none"/>
          <w:lang w:val="en-US" w:eastAsia="zh-CN"/>
        </w:rPr>
        <w:t>3</w:t>
      </w:r>
      <w:r>
        <w:rPr>
          <w:rFonts w:hint="eastAsia" w:ascii="仿宋" w:hAnsi="仿宋" w:eastAsia="仿宋" w:cs="仿宋"/>
          <w:color w:val="auto"/>
          <w:sz w:val="30"/>
          <w:szCs w:val="30"/>
          <w:highlight w:val="none"/>
        </w:rPr>
        <w:t xml:space="preserve">）资金使用合规性：满分 </w:t>
      </w:r>
      <w:r>
        <w:rPr>
          <w:rFonts w:hint="eastAsia" w:ascii="仿宋" w:hAnsi="仿宋" w:eastAsia="仿宋" w:cs="仿宋"/>
          <w:color w:val="auto"/>
          <w:sz w:val="30"/>
          <w:szCs w:val="30"/>
          <w:highlight w:val="none"/>
          <w:lang w:val="en-US" w:eastAsia="zh-CN"/>
        </w:rPr>
        <w:t>5</w:t>
      </w:r>
      <w:r>
        <w:rPr>
          <w:rFonts w:hint="eastAsia" w:ascii="仿宋" w:hAnsi="仿宋" w:eastAsia="仿宋" w:cs="仿宋"/>
          <w:color w:val="auto"/>
          <w:sz w:val="30"/>
          <w:szCs w:val="30"/>
          <w:highlight w:val="none"/>
        </w:rPr>
        <w:t xml:space="preserve"> 分，得分 </w:t>
      </w:r>
      <w:r>
        <w:rPr>
          <w:rFonts w:hint="eastAsia" w:ascii="仿宋" w:hAnsi="仿宋" w:eastAsia="仿宋" w:cs="仿宋"/>
          <w:color w:val="auto"/>
          <w:sz w:val="30"/>
          <w:szCs w:val="30"/>
          <w:highlight w:val="none"/>
          <w:lang w:val="en-US" w:eastAsia="zh-CN"/>
        </w:rPr>
        <w:t>5</w:t>
      </w:r>
      <w:r>
        <w:rPr>
          <w:rFonts w:hint="eastAsia" w:ascii="仿宋" w:hAnsi="仿宋" w:eastAsia="仿宋" w:cs="仿宋"/>
          <w:color w:val="auto"/>
          <w:sz w:val="30"/>
          <w:szCs w:val="30"/>
          <w:highlight w:val="none"/>
        </w:rPr>
        <w:t xml:space="preserve"> 分</w:t>
      </w:r>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both"/>
        <w:textAlignment w:val="baseline"/>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资金使用符合国家财经法规和财务管理制度的规定；资金的拨付有完整的审批程序和手续</w:t>
      </w:r>
      <w:r>
        <w:rPr>
          <w:rFonts w:hint="eastAsia" w:ascii="仿宋" w:hAnsi="仿宋" w:eastAsia="仿宋" w:cs="仿宋"/>
          <w:color w:val="auto"/>
          <w:sz w:val="30"/>
          <w:szCs w:val="30"/>
          <w:highlight w:val="none"/>
          <w:lang w:val="en-US" w:eastAsia="zh-CN"/>
        </w:rPr>
        <w:t>;未发现</w:t>
      </w:r>
      <w:r>
        <w:rPr>
          <w:rFonts w:hint="eastAsia" w:ascii="仿宋" w:hAnsi="仿宋" w:eastAsia="仿宋" w:cs="仿宋"/>
          <w:color w:val="auto"/>
          <w:sz w:val="30"/>
          <w:szCs w:val="30"/>
          <w:highlight w:val="none"/>
        </w:rPr>
        <w:t>截留、挤占、挪用、虚列支出等情况。</w:t>
      </w:r>
      <w:r>
        <w:rPr>
          <w:rFonts w:hint="eastAsia" w:ascii="仿宋" w:hAnsi="仿宋" w:eastAsia="仿宋" w:cs="仿宋"/>
          <w:color w:val="auto"/>
          <w:sz w:val="30"/>
          <w:szCs w:val="30"/>
          <w:highlight w:val="none"/>
          <w:lang w:val="en-US" w:eastAsia="zh-CN"/>
        </w:rPr>
        <w:t>依据评分标准此项</w:t>
      </w:r>
      <w:r>
        <w:rPr>
          <w:rFonts w:hint="eastAsia" w:ascii="仿宋" w:hAnsi="仿宋" w:eastAsia="仿宋" w:cs="仿宋"/>
          <w:color w:val="auto"/>
          <w:sz w:val="30"/>
          <w:szCs w:val="30"/>
          <w:highlight w:val="none"/>
        </w:rPr>
        <w:t xml:space="preserve">得 </w:t>
      </w:r>
      <w:r>
        <w:rPr>
          <w:rFonts w:hint="eastAsia" w:ascii="仿宋" w:hAnsi="仿宋" w:eastAsia="仿宋" w:cs="仿宋"/>
          <w:color w:val="auto"/>
          <w:sz w:val="30"/>
          <w:szCs w:val="30"/>
          <w:highlight w:val="none"/>
          <w:lang w:val="en-US" w:eastAsia="zh-CN"/>
        </w:rPr>
        <w:t>5</w:t>
      </w:r>
      <w:r>
        <w:rPr>
          <w:rFonts w:hint="eastAsia" w:ascii="仿宋" w:hAnsi="仿宋" w:eastAsia="仿宋" w:cs="仿宋"/>
          <w:color w:val="auto"/>
          <w:sz w:val="30"/>
          <w:szCs w:val="30"/>
          <w:highlight w:val="none"/>
        </w:rPr>
        <w:t xml:space="preserve"> 分。</w:t>
      </w:r>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both"/>
        <w:textAlignment w:val="baseline"/>
        <w:rPr>
          <w:rFonts w:hint="eastAsia" w:ascii="仿宋" w:hAnsi="仿宋" w:eastAsia="仿宋" w:cs="仿宋"/>
          <w:color w:val="auto"/>
          <w:sz w:val="30"/>
          <w:szCs w:val="30"/>
          <w:highlight w:val="none"/>
        </w:rPr>
      </w:pPr>
      <w:bookmarkStart w:id="15" w:name="_bookmark12"/>
      <w:bookmarkEnd w:id="15"/>
      <w:r>
        <w:rPr>
          <w:rFonts w:hint="eastAsia" w:ascii="仿宋" w:hAnsi="仿宋" w:eastAsia="仿宋" w:cs="仿宋"/>
          <w:color w:val="auto"/>
          <w:sz w:val="30"/>
          <w:szCs w:val="30"/>
          <w:highlight w:val="none"/>
          <w:lang w:val="en-US" w:eastAsia="zh-CN"/>
        </w:rPr>
        <w:t>2</w:t>
      </w:r>
      <w:r>
        <w:rPr>
          <w:rFonts w:hint="eastAsia" w:ascii="仿宋" w:hAnsi="仿宋" w:eastAsia="仿宋" w:cs="仿宋"/>
          <w:color w:val="auto"/>
          <w:sz w:val="30"/>
          <w:szCs w:val="30"/>
          <w:highlight w:val="none"/>
        </w:rPr>
        <w:t>、</w:t>
      </w:r>
      <w:r>
        <w:rPr>
          <w:rFonts w:hint="eastAsia" w:ascii="仿宋" w:hAnsi="仿宋" w:eastAsia="仿宋" w:cs="仿宋"/>
          <w:color w:val="auto"/>
          <w:sz w:val="30"/>
          <w:szCs w:val="30"/>
          <w:highlight w:val="none"/>
          <w:lang w:val="en-US" w:eastAsia="zh-CN"/>
        </w:rPr>
        <w:t>组织实施</w:t>
      </w:r>
      <w:r>
        <w:rPr>
          <w:rFonts w:hint="eastAsia" w:ascii="仿宋" w:hAnsi="仿宋" w:eastAsia="仿宋" w:cs="仿宋"/>
          <w:color w:val="auto"/>
          <w:sz w:val="30"/>
          <w:szCs w:val="30"/>
          <w:highlight w:val="none"/>
        </w:rPr>
        <w:t xml:space="preserve">（满分 </w:t>
      </w:r>
      <w:r>
        <w:rPr>
          <w:rFonts w:hint="eastAsia" w:ascii="仿宋" w:hAnsi="仿宋" w:eastAsia="仿宋" w:cs="仿宋"/>
          <w:color w:val="auto"/>
          <w:sz w:val="30"/>
          <w:szCs w:val="30"/>
          <w:highlight w:val="none"/>
          <w:lang w:val="en-US" w:eastAsia="zh-CN"/>
        </w:rPr>
        <w:t xml:space="preserve">10 </w:t>
      </w:r>
      <w:r>
        <w:rPr>
          <w:rFonts w:hint="eastAsia" w:ascii="仿宋" w:hAnsi="仿宋" w:eastAsia="仿宋" w:cs="仿宋"/>
          <w:color w:val="auto"/>
          <w:sz w:val="30"/>
          <w:szCs w:val="30"/>
          <w:highlight w:val="none"/>
        </w:rPr>
        <w:t xml:space="preserve">分，得分 </w:t>
      </w:r>
      <w:r>
        <w:rPr>
          <w:rFonts w:hint="eastAsia" w:ascii="仿宋" w:hAnsi="仿宋" w:eastAsia="仿宋" w:cs="仿宋"/>
          <w:color w:val="auto"/>
          <w:sz w:val="30"/>
          <w:szCs w:val="30"/>
          <w:highlight w:val="none"/>
          <w:lang w:val="en-US" w:eastAsia="zh-CN"/>
        </w:rPr>
        <w:t>10</w:t>
      </w:r>
      <w:r>
        <w:rPr>
          <w:rFonts w:hint="eastAsia" w:ascii="仿宋" w:hAnsi="仿宋" w:eastAsia="仿宋" w:cs="仿宋"/>
          <w:color w:val="auto"/>
          <w:sz w:val="30"/>
          <w:szCs w:val="30"/>
          <w:highlight w:val="none"/>
        </w:rPr>
        <w:t xml:space="preserve"> 分）</w:t>
      </w:r>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both"/>
        <w:textAlignment w:val="baseline"/>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 xml:space="preserve">（1）管理制度健全性：满分 </w:t>
      </w:r>
      <w:r>
        <w:rPr>
          <w:rFonts w:hint="eastAsia" w:ascii="仿宋" w:hAnsi="仿宋" w:eastAsia="仿宋" w:cs="仿宋"/>
          <w:color w:val="auto"/>
          <w:sz w:val="30"/>
          <w:szCs w:val="30"/>
          <w:highlight w:val="none"/>
          <w:lang w:val="en-US" w:eastAsia="zh-CN"/>
        </w:rPr>
        <w:t>5</w:t>
      </w:r>
      <w:r>
        <w:rPr>
          <w:rFonts w:hint="eastAsia" w:ascii="仿宋" w:hAnsi="仿宋" w:eastAsia="仿宋" w:cs="仿宋"/>
          <w:color w:val="auto"/>
          <w:sz w:val="30"/>
          <w:szCs w:val="30"/>
          <w:highlight w:val="none"/>
        </w:rPr>
        <w:t xml:space="preserve"> 分，得分 </w:t>
      </w:r>
      <w:r>
        <w:rPr>
          <w:rFonts w:hint="eastAsia" w:ascii="仿宋" w:hAnsi="仿宋" w:eastAsia="仿宋" w:cs="仿宋"/>
          <w:color w:val="auto"/>
          <w:sz w:val="30"/>
          <w:szCs w:val="30"/>
          <w:highlight w:val="none"/>
          <w:lang w:val="en-US" w:eastAsia="zh-CN"/>
        </w:rPr>
        <w:t>5</w:t>
      </w:r>
      <w:r>
        <w:rPr>
          <w:rFonts w:hint="eastAsia" w:ascii="仿宋" w:hAnsi="仿宋" w:eastAsia="仿宋" w:cs="仿宋"/>
          <w:color w:val="auto"/>
          <w:sz w:val="30"/>
          <w:szCs w:val="30"/>
          <w:highlight w:val="none"/>
        </w:rPr>
        <w:t xml:space="preserve"> 分</w:t>
      </w:r>
    </w:p>
    <w:p>
      <w:pPr>
        <w:keepNext w:val="0"/>
        <w:keepLines w:val="0"/>
        <w:pageBreakBefore w:val="0"/>
        <w:widowControl w:val="0"/>
        <w:kinsoku w:val="0"/>
        <w:wordWrap/>
        <w:overflowPunct/>
        <w:topLinePunct w:val="0"/>
        <w:autoSpaceDE w:val="0"/>
        <w:autoSpaceDN w:val="0"/>
        <w:bidi w:val="0"/>
        <w:adjustRightInd w:val="0"/>
        <w:snapToGrid w:val="0"/>
        <w:spacing w:before="0" w:after="0" w:line="540" w:lineRule="exact"/>
        <w:ind w:left="23" w:firstLine="561"/>
        <w:jc w:val="both"/>
        <w:textAlignment w:val="baseline"/>
        <w:rPr>
          <w:rFonts w:hint="eastAsia" w:ascii="仿宋" w:hAnsi="仿宋" w:eastAsia="仿宋" w:cs="仿宋"/>
          <w:color w:val="auto"/>
          <w:sz w:val="30"/>
          <w:szCs w:val="30"/>
          <w:highlight w:val="yellow"/>
        </w:rPr>
      </w:pPr>
      <w:r>
        <w:rPr>
          <w:rFonts w:hint="eastAsia" w:ascii="仿宋" w:hAnsi="仿宋" w:eastAsia="仿宋" w:cs="仿宋"/>
          <w:color w:val="auto"/>
          <w:sz w:val="30"/>
          <w:szCs w:val="30"/>
          <w:highlight w:val="none"/>
          <w:lang w:val="en-US" w:eastAsia="zh-CN"/>
        </w:rPr>
        <w:t>麻阳苗族自治县财政局、中国人民财产保险股份有限公司麻阳支公司、中华联合财产保险股份有限公司麻阳县支公司、中国太平洋财产保险股份有限公司麻阳支公司建立了一系列的财务管理制度和业务管理制度。管理制度健全，依据评分标准</w:t>
      </w:r>
      <w:r>
        <w:rPr>
          <w:rFonts w:hint="eastAsia" w:ascii="仿宋" w:hAnsi="仿宋" w:eastAsia="仿宋" w:cs="仿宋"/>
          <w:color w:val="auto"/>
          <w:sz w:val="30"/>
          <w:szCs w:val="30"/>
          <w:highlight w:val="none"/>
        </w:rPr>
        <w:t xml:space="preserve">得 </w:t>
      </w:r>
      <w:r>
        <w:rPr>
          <w:rFonts w:hint="eastAsia" w:ascii="仿宋" w:hAnsi="仿宋" w:eastAsia="仿宋" w:cs="仿宋"/>
          <w:color w:val="auto"/>
          <w:sz w:val="30"/>
          <w:szCs w:val="30"/>
          <w:highlight w:val="none"/>
          <w:lang w:val="en-US" w:eastAsia="zh-CN"/>
        </w:rPr>
        <w:t>5</w:t>
      </w:r>
      <w:r>
        <w:rPr>
          <w:rFonts w:hint="eastAsia" w:ascii="仿宋" w:hAnsi="仿宋" w:eastAsia="仿宋" w:cs="仿宋"/>
          <w:color w:val="auto"/>
          <w:sz w:val="30"/>
          <w:szCs w:val="30"/>
          <w:highlight w:val="none"/>
        </w:rPr>
        <w:t xml:space="preserve"> 分。</w:t>
      </w:r>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both"/>
        <w:textAlignment w:val="baseline"/>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 xml:space="preserve">（2）制度执行有效性：满分 </w:t>
      </w:r>
      <w:r>
        <w:rPr>
          <w:rFonts w:hint="eastAsia" w:ascii="仿宋" w:hAnsi="仿宋" w:eastAsia="仿宋" w:cs="仿宋"/>
          <w:color w:val="auto"/>
          <w:sz w:val="30"/>
          <w:szCs w:val="30"/>
          <w:highlight w:val="none"/>
          <w:lang w:val="en-US" w:eastAsia="zh-CN"/>
        </w:rPr>
        <w:t>5</w:t>
      </w:r>
      <w:r>
        <w:rPr>
          <w:rFonts w:hint="eastAsia" w:ascii="仿宋" w:hAnsi="仿宋" w:eastAsia="仿宋" w:cs="仿宋"/>
          <w:color w:val="auto"/>
          <w:sz w:val="30"/>
          <w:szCs w:val="30"/>
          <w:highlight w:val="none"/>
        </w:rPr>
        <w:t xml:space="preserve"> 分，得分 </w:t>
      </w:r>
      <w:r>
        <w:rPr>
          <w:rFonts w:hint="eastAsia" w:ascii="仿宋" w:hAnsi="仿宋" w:eastAsia="仿宋" w:cs="仿宋"/>
          <w:color w:val="auto"/>
          <w:sz w:val="30"/>
          <w:szCs w:val="30"/>
          <w:highlight w:val="none"/>
          <w:lang w:val="en-US" w:eastAsia="zh-CN"/>
        </w:rPr>
        <w:t>5</w:t>
      </w:r>
      <w:r>
        <w:rPr>
          <w:rFonts w:hint="eastAsia" w:ascii="仿宋" w:hAnsi="仿宋" w:eastAsia="仿宋" w:cs="仿宋"/>
          <w:color w:val="auto"/>
          <w:sz w:val="30"/>
          <w:szCs w:val="30"/>
          <w:highlight w:val="none"/>
        </w:rPr>
        <w:t xml:space="preserve"> 分</w:t>
      </w:r>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both"/>
        <w:textAlignment w:val="baseline"/>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项目实施遵守相关法律法规和业务管理规定</w:t>
      </w:r>
      <w:r>
        <w:rPr>
          <w:rFonts w:hint="eastAsia" w:ascii="仿宋" w:hAnsi="仿宋" w:eastAsia="仿宋" w:cs="仿宋"/>
          <w:color w:val="auto"/>
          <w:sz w:val="30"/>
          <w:szCs w:val="30"/>
          <w:highlight w:val="none"/>
          <w:lang w:eastAsia="zh-CN"/>
        </w:rPr>
        <w:t>；</w:t>
      </w:r>
      <w:r>
        <w:rPr>
          <w:rFonts w:hint="eastAsia" w:ascii="仿宋" w:hAnsi="仿宋" w:eastAsia="仿宋" w:cs="仿宋"/>
          <w:color w:val="auto"/>
          <w:sz w:val="30"/>
          <w:szCs w:val="30"/>
          <w:highlight w:val="none"/>
          <w:lang w:val="en-US" w:eastAsia="zh-CN"/>
        </w:rPr>
        <w:t>项目实施的人员条件、场地设备、信息支撑等落实到位；提供采取了相应的质量检查等必要的控制措施和手段的相关资料。依据评分标准此项扣 2 分，</w:t>
      </w:r>
      <w:r>
        <w:rPr>
          <w:rFonts w:hint="eastAsia" w:ascii="仿宋" w:hAnsi="仿宋" w:eastAsia="仿宋" w:cs="仿宋"/>
          <w:color w:val="auto"/>
          <w:sz w:val="30"/>
          <w:szCs w:val="30"/>
          <w:highlight w:val="none"/>
        </w:rPr>
        <w:t xml:space="preserve">得 </w:t>
      </w:r>
      <w:r>
        <w:rPr>
          <w:rFonts w:hint="eastAsia" w:ascii="仿宋" w:hAnsi="仿宋" w:eastAsia="仿宋" w:cs="仿宋"/>
          <w:color w:val="auto"/>
          <w:sz w:val="30"/>
          <w:szCs w:val="30"/>
          <w:highlight w:val="none"/>
          <w:lang w:val="en-US" w:eastAsia="zh-CN"/>
        </w:rPr>
        <w:t xml:space="preserve">3 </w:t>
      </w:r>
      <w:r>
        <w:rPr>
          <w:rFonts w:hint="eastAsia" w:ascii="仿宋" w:hAnsi="仿宋" w:eastAsia="仿宋" w:cs="仿宋"/>
          <w:color w:val="auto"/>
          <w:sz w:val="30"/>
          <w:szCs w:val="30"/>
          <w:highlight w:val="none"/>
        </w:rPr>
        <w:t>分 。</w:t>
      </w:r>
    </w:p>
    <w:p>
      <w:pPr>
        <w:pStyle w:val="3"/>
        <w:keepNext/>
        <w:keepLines/>
        <w:pageBreakBefore w:val="0"/>
        <w:widowControl w:val="0"/>
        <w:kinsoku/>
        <w:wordWrap/>
        <w:overflowPunct/>
        <w:topLinePunct w:val="0"/>
        <w:autoSpaceDE/>
        <w:autoSpaceDN/>
        <w:bidi w:val="0"/>
        <w:adjustRightInd/>
        <w:snapToGrid/>
        <w:spacing w:before="0" w:beforeAutospacing="0" w:after="0" w:afterAutospacing="0" w:line="360" w:lineRule="auto"/>
        <w:ind w:firstLine="643" w:firstLineChars="200"/>
        <w:jc w:val="both"/>
        <w:textAlignment w:val="auto"/>
        <w:outlineLvl w:val="1"/>
        <w:rPr>
          <w:rFonts w:hint="eastAsia" w:ascii="Cambria" w:hAnsi="Cambria" w:eastAsia="楷体_GB2312" w:cs="Times New Roman"/>
          <w:bCs/>
          <w:snapToGrid/>
          <w:kern w:val="2"/>
          <w:sz w:val="32"/>
          <w:szCs w:val="32"/>
          <w:lang w:val="en-US" w:eastAsia="zh-CN" w:bidi="ar-SA"/>
        </w:rPr>
      </w:pPr>
      <w:bookmarkStart w:id="16" w:name="_bookmark13"/>
      <w:bookmarkEnd w:id="16"/>
      <w:bookmarkStart w:id="17" w:name="_Toc28753"/>
      <w:r>
        <w:rPr>
          <w:rFonts w:hint="eastAsia" w:ascii="Cambria" w:hAnsi="Cambria" w:eastAsia="楷体_GB2312" w:cs="Times New Roman"/>
          <w:bCs/>
          <w:snapToGrid/>
          <w:kern w:val="2"/>
          <w:sz w:val="32"/>
          <w:szCs w:val="32"/>
          <w:lang w:val="en-US" w:eastAsia="zh-CN" w:bidi="ar-SA"/>
        </w:rPr>
        <w:t>（三） 产出</w:t>
      </w:r>
      <w:bookmarkEnd w:id="17"/>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both"/>
        <w:textAlignment w:val="baseline"/>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根据</w:t>
      </w:r>
      <w:r>
        <w:rPr>
          <w:rFonts w:hint="eastAsia" w:ascii="仿宋" w:hAnsi="仿宋" w:eastAsia="仿宋" w:cs="仿宋"/>
          <w:color w:val="auto"/>
          <w:sz w:val="30"/>
          <w:szCs w:val="30"/>
          <w:highlight w:val="none"/>
          <w:lang w:val="en-US" w:eastAsia="zh-CN"/>
        </w:rPr>
        <w:t>评分标准</w:t>
      </w:r>
      <w:r>
        <w:rPr>
          <w:rFonts w:hint="eastAsia" w:ascii="仿宋" w:hAnsi="仿宋" w:eastAsia="仿宋" w:cs="仿宋"/>
          <w:color w:val="auto"/>
          <w:sz w:val="30"/>
          <w:szCs w:val="30"/>
          <w:highlight w:val="none"/>
        </w:rPr>
        <w:t>，产出</w:t>
      </w:r>
      <w:r>
        <w:rPr>
          <w:rFonts w:hint="eastAsia" w:ascii="仿宋" w:hAnsi="仿宋" w:eastAsia="仿宋" w:cs="仿宋"/>
          <w:color w:val="auto"/>
          <w:sz w:val="30"/>
          <w:szCs w:val="30"/>
          <w:highlight w:val="none"/>
          <w:lang w:val="en-US" w:eastAsia="zh-CN"/>
        </w:rPr>
        <w:t>评价总分 35 分，</w:t>
      </w:r>
      <w:r>
        <w:rPr>
          <w:rFonts w:hint="eastAsia" w:ascii="仿宋" w:hAnsi="仿宋" w:eastAsia="仿宋" w:cs="仿宋"/>
          <w:color w:val="auto"/>
          <w:sz w:val="30"/>
          <w:szCs w:val="30"/>
          <w:highlight w:val="none"/>
        </w:rPr>
        <w:t xml:space="preserve">得 </w:t>
      </w:r>
      <w:r>
        <w:rPr>
          <w:rFonts w:hint="eastAsia" w:ascii="仿宋" w:hAnsi="仿宋" w:eastAsia="仿宋" w:cs="仿宋"/>
          <w:color w:val="auto"/>
          <w:sz w:val="30"/>
          <w:szCs w:val="30"/>
          <w:highlight w:val="none"/>
          <w:lang w:val="en-US" w:eastAsia="zh-CN"/>
        </w:rPr>
        <w:t>31.9</w:t>
      </w:r>
      <w:r>
        <w:rPr>
          <w:rFonts w:hint="eastAsia" w:ascii="仿宋" w:hAnsi="仿宋" w:eastAsia="仿宋" w:cs="仿宋"/>
          <w:color w:val="auto"/>
          <w:sz w:val="30"/>
          <w:szCs w:val="30"/>
          <w:highlight w:val="none"/>
        </w:rPr>
        <w:t xml:space="preserve"> 分。</w:t>
      </w:r>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both"/>
        <w:textAlignment w:val="baseline"/>
        <w:rPr>
          <w:rFonts w:hint="eastAsia"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1、成本指标（满分 9 分，得分 9 分）</w:t>
      </w:r>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both"/>
        <w:textAlignment w:val="baseline"/>
        <w:rPr>
          <w:rFonts w:hint="default"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成本节约率：满分 9 分，得分 9 分</w:t>
      </w:r>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both"/>
        <w:textAlignment w:val="baseline"/>
        <w:rPr>
          <w:rFonts w:hint="default"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根据麻阳苗族自治县财政局、中国人民财产保险股份有限公司麻阳支公司、中华联合财产保险股份有限公司麻阳县支公司、中国太平洋财产保险股份有限公司麻阳支公司提供的资料，麻阳苗族自治县实际支付2022年农业保险资金902.31万元，其中：支付中国人民财产保险股份有限公司麻阳支公司农业保险资金401.65万元（不含投保户自缴）；支付中华联合财产保险股份有限公司麻阳县支公司农业保险资金480.66万元（不含投保户自缴）；支付中国太平洋财产保险股份有限公司麻阳支公司农业保险资金20.00万元（不含投保户自缴）。</w:t>
      </w:r>
    </w:p>
    <w:p>
      <w:pPr>
        <w:keepNext w:val="0"/>
        <w:keepLines w:val="0"/>
        <w:pageBreakBefore w:val="0"/>
        <w:widowControl w:val="0"/>
        <w:kinsoku w:val="0"/>
        <w:wordWrap/>
        <w:overflowPunct/>
        <w:topLinePunct w:val="0"/>
        <w:autoSpaceDE w:val="0"/>
        <w:autoSpaceDN w:val="0"/>
        <w:bidi w:val="0"/>
        <w:adjustRightInd w:val="0"/>
        <w:snapToGrid w:val="0"/>
        <w:spacing w:before="0" w:after="0" w:line="540" w:lineRule="exact"/>
        <w:ind w:left="23" w:firstLine="561"/>
        <w:jc w:val="both"/>
        <w:textAlignment w:val="baseline"/>
        <w:rPr>
          <w:rFonts w:hint="default"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成本节约率为0，依评分标准此项得 9 分。</w:t>
      </w:r>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both"/>
        <w:textAlignment w:val="baseline"/>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lang w:val="en-US" w:eastAsia="zh-CN"/>
        </w:rPr>
        <w:t>2</w:t>
      </w:r>
      <w:r>
        <w:rPr>
          <w:rFonts w:hint="eastAsia" w:ascii="仿宋" w:hAnsi="仿宋" w:eastAsia="仿宋" w:cs="仿宋"/>
          <w:color w:val="auto"/>
          <w:sz w:val="30"/>
          <w:szCs w:val="30"/>
          <w:highlight w:val="none"/>
        </w:rPr>
        <w:t>、数量指标（满分</w:t>
      </w:r>
      <w:r>
        <w:rPr>
          <w:rFonts w:hint="eastAsia" w:ascii="仿宋" w:hAnsi="仿宋" w:eastAsia="仿宋" w:cs="仿宋"/>
          <w:color w:val="auto"/>
          <w:sz w:val="30"/>
          <w:szCs w:val="30"/>
          <w:highlight w:val="none"/>
          <w:lang w:val="en-US" w:eastAsia="zh-CN"/>
        </w:rPr>
        <w:t xml:space="preserve"> 9 </w:t>
      </w:r>
      <w:r>
        <w:rPr>
          <w:rFonts w:hint="eastAsia" w:ascii="仿宋" w:hAnsi="仿宋" w:eastAsia="仿宋" w:cs="仿宋"/>
          <w:color w:val="auto"/>
          <w:sz w:val="30"/>
          <w:szCs w:val="30"/>
          <w:highlight w:val="none"/>
        </w:rPr>
        <w:t xml:space="preserve">分，得分 </w:t>
      </w:r>
      <w:r>
        <w:rPr>
          <w:rFonts w:hint="eastAsia" w:ascii="仿宋" w:hAnsi="仿宋" w:eastAsia="仿宋" w:cs="仿宋"/>
          <w:color w:val="auto"/>
          <w:sz w:val="30"/>
          <w:szCs w:val="30"/>
          <w:highlight w:val="none"/>
          <w:lang w:val="en-US" w:eastAsia="zh-CN"/>
        </w:rPr>
        <w:t>7.9</w:t>
      </w:r>
      <w:r>
        <w:rPr>
          <w:rFonts w:hint="eastAsia" w:ascii="仿宋" w:hAnsi="仿宋" w:eastAsia="仿宋" w:cs="仿宋"/>
          <w:color w:val="auto"/>
          <w:sz w:val="30"/>
          <w:szCs w:val="30"/>
          <w:highlight w:val="none"/>
        </w:rPr>
        <w:t xml:space="preserve"> 分）</w:t>
      </w:r>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both"/>
        <w:textAlignment w:val="baseline"/>
        <w:rPr>
          <w:rFonts w:hint="eastAsia"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（1）水稻投保面积覆盖面：满分 1 分，得分 1 分</w:t>
      </w:r>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both"/>
        <w:textAlignment w:val="baseline"/>
        <w:rPr>
          <w:rFonts w:hint="eastAsia"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2022年水稻计划种植21.80万亩,水稻预算承保面积为15.40万亩，承保率绩效指标为71%；2022年水稻实际种植面积13.68万亩,水稻实际承保13.68万亩,水稻投保面积覆盖面100%。依评分标准此项得 1 分。</w:t>
      </w:r>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both"/>
        <w:textAlignment w:val="baseline"/>
        <w:rPr>
          <w:rFonts w:hint="eastAsia"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（2）育肥猪保险覆盖率：满分 1 分，得分 0.5 分</w:t>
      </w:r>
    </w:p>
    <w:p>
      <w:pPr>
        <w:keepNext w:val="0"/>
        <w:keepLines w:val="0"/>
        <w:pageBreakBefore w:val="0"/>
        <w:widowControl w:val="0"/>
        <w:kinsoku w:val="0"/>
        <w:wordWrap/>
        <w:overflowPunct/>
        <w:topLinePunct w:val="0"/>
        <w:autoSpaceDE w:val="0"/>
        <w:autoSpaceDN w:val="0"/>
        <w:bidi w:val="0"/>
        <w:adjustRightInd w:val="0"/>
        <w:snapToGrid w:val="0"/>
        <w:spacing w:before="0" w:after="0" w:line="540" w:lineRule="exact"/>
        <w:ind w:left="23" w:firstLine="561"/>
        <w:jc w:val="both"/>
        <w:textAlignment w:val="baseline"/>
        <w:rPr>
          <w:rFonts w:hint="default"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育肥猪2022年预算存栏30.00万头，预算承保5.00万头，省财政厅下达的指标为保险覆盖率≥35%（麻阳县的方案为保险覆盖率   17%）。麻阳苗族自治县畜牧水产事务中心预计2022年育肥猪实际出栏25.00万头，育肥猪实际承保4.3667万头，育肥猪保险实际覆盖率17.47%。按承保率35%计算，实际完成率49.91%。依评分标准此项扣 0.5 分，得 0.5 分。</w:t>
      </w:r>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both"/>
        <w:textAlignment w:val="baseline"/>
        <w:rPr>
          <w:rFonts w:hint="eastAsia"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（3）油菜投保面积覆盖面：满分 1 分，得分 1 分</w:t>
      </w:r>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both"/>
        <w:textAlignment w:val="baseline"/>
        <w:rPr>
          <w:rFonts w:hint="eastAsia"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2022年油菜预计种植面积115000亩，预算承保67500亩，油菜投保面积覆盖面绩效指标为59%。2022年油菜实际种植面积110000亩，承保面积110000亩，油菜投保面积实际覆盖面100%。依评分标准此项得 1 分。</w:t>
      </w:r>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both"/>
        <w:textAlignment w:val="baseline"/>
        <w:rPr>
          <w:rFonts w:hint="eastAsia"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（4）能繁母猪保险覆盖率：满分 1 分，得分 0.4 分</w:t>
      </w:r>
    </w:p>
    <w:p>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00" w:lineRule="exact"/>
        <w:ind w:left="0" w:right="0" w:firstLine="420"/>
        <w:jc w:val="both"/>
        <w:textAlignment w:val="auto"/>
        <w:rPr>
          <w:rFonts w:hint="eastAsia" w:ascii="仿宋" w:hAnsi="仿宋" w:eastAsia="仿宋" w:cs="仿宋"/>
          <w:color w:val="auto"/>
          <w:sz w:val="30"/>
          <w:szCs w:val="30"/>
          <w:highlight w:val="none"/>
          <w:lang w:val="en-US" w:eastAsia="zh-CN"/>
        </w:rPr>
      </w:pPr>
      <w:r>
        <w:rPr>
          <w:rFonts w:hint="eastAsia" w:ascii="仿宋" w:hAnsi="仿宋" w:eastAsia="仿宋" w:cs="仿宋"/>
          <w:snapToGrid w:val="0"/>
          <w:color w:val="auto"/>
          <w:kern w:val="0"/>
          <w:sz w:val="30"/>
          <w:szCs w:val="30"/>
          <w:highlight w:val="none"/>
          <w:lang w:val="en-US" w:eastAsia="zh-CN"/>
        </w:rPr>
        <w:t>能繁母猪2022年预算存栏1.4万头,预算承保0.54万头,</w:t>
      </w:r>
      <w:r>
        <w:rPr>
          <w:rFonts w:hint="eastAsia" w:ascii="仿宋" w:hAnsi="仿宋" w:eastAsia="仿宋" w:cs="仿宋"/>
          <w:color w:val="auto"/>
          <w:sz w:val="30"/>
          <w:szCs w:val="30"/>
          <w:highlight w:val="none"/>
          <w:lang w:val="en-US" w:eastAsia="zh-CN"/>
        </w:rPr>
        <w:t>能繁母猪保险覆盖率绩效指标为</w:t>
      </w:r>
      <w:r>
        <w:rPr>
          <w:rFonts w:hint="eastAsia" w:ascii="仿宋" w:hAnsi="仿宋" w:eastAsia="仿宋" w:cs="仿宋"/>
          <w:snapToGrid w:val="0"/>
          <w:color w:val="auto"/>
          <w:kern w:val="0"/>
          <w:sz w:val="30"/>
          <w:szCs w:val="30"/>
          <w:highlight w:val="none"/>
          <w:lang w:val="en-US" w:eastAsia="zh-CN"/>
        </w:rPr>
        <w:t>39%。麻阳苗族自治县畜牧水产事务中心预计能繁母猪2022年存栏1.2万头,2022年实际承保0.2587万头，</w:t>
      </w:r>
      <w:r>
        <w:rPr>
          <w:rFonts w:hint="eastAsia" w:ascii="仿宋" w:hAnsi="仿宋" w:eastAsia="仿宋" w:cs="仿宋"/>
          <w:color w:val="auto"/>
          <w:sz w:val="30"/>
          <w:szCs w:val="30"/>
          <w:highlight w:val="none"/>
          <w:lang w:val="en-US" w:eastAsia="zh-CN"/>
        </w:rPr>
        <w:t>能繁母猪保险实际覆盖率</w:t>
      </w:r>
      <w:r>
        <w:rPr>
          <w:rFonts w:hint="eastAsia" w:ascii="仿宋" w:hAnsi="仿宋" w:eastAsia="仿宋" w:cs="仿宋"/>
          <w:snapToGrid w:val="0"/>
          <w:color w:val="auto"/>
          <w:kern w:val="0"/>
          <w:sz w:val="30"/>
          <w:szCs w:val="30"/>
          <w:highlight w:val="none"/>
          <w:lang w:val="en-US" w:eastAsia="zh-CN"/>
        </w:rPr>
        <w:t>15.58%，实际完成率39.95%</w:t>
      </w:r>
      <w:r>
        <w:rPr>
          <w:rFonts w:hint="eastAsia" w:ascii="宋体" w:hAnsi="宋体" w:cs="宋体"/>
          <w:i w:val="0"/>
          <w:iCs w:val="0"/>
          <w:caps w:val="0"/>
          <w:color w:val="333333"/>
          <w:spacing w:val="0"/>
          <w:sz w:val="28"/>
          <w:szCs w:val="28"/>
          <w:shd w:val="clear" w:color="auto" w:fill="FFFFFF"/>
          <w:lang w:val="en-US" w:eastAsia="zh-CN"/>
        </w:rPr>
        <w:t>。</w:t>
      </w:r>
      <w:r>
        <w:rPr>
          <w:rFonts w:hint="eastAsia" w:ascii="仿宋" w:hAnsi="仿宋" w:eastAsia="仿宋" w:cs="仿宋"/>
          <w:color w:val="auto"/>
          <w:sz w:val="30"/>
          <w:szCs w:val="30"/>
          <w:highlight w:val="none"/>
          <w:lang w:val="en-US" w:eastAsia="zh-CN"/>
        </w:rPr>
        <w:t>依评分标准此项扣 0.6 分，得 0.4 分。</w:t>
      </w:r>
    </w:p>
    <w:p>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00" w:lineRule="exact"/>
        <w:ind w:left="0" w:right="0" w:firstLine="420"/>
        <w:jc w:val="both"/>
        <w:textAlignment w:val="auto"/>
        <w:rPr>
          <w:rFonts w:hint="default"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（5）公益林投保面积覆盖面：满分 1 分，得分 1 分</w:t>
      </w:r>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both"/>
        <w:textAlignment w:val="baseline"/>
        <w:rPr>
          <w:rFonts w:hint="eastAsia"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公益林预计2022年存量为73.33万亩，2022年计划承保面积73.33万亩,公益林投保面积覆盖面绩效指标为100%。2022年公益林实际承保面积68.62万亩,公益林投保面积实际覆盖面100%（经林业部门测量，2022年公益林实际面积68.62万亩），实际完成率100%。依评分标准此项得 1 分。</w:t>
      </w:r>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both"/>
        <w:textAlignment w:val="baseline"/>
        <w:rPr>
          <w:rFonts w:hint="eastAsia"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（6）商品林投保面积覆盖面：满分 1 分，得分 1 分</w:t>
      </w:r>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both"/>
        <w:textAlignment w:val="baseline"/>
        <w:rPr>
          <w:rFonts w:hint="eastAsia"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商品林2022年预计存量为面积86.76万亩，2022年计划承保面积为76.00万亩，商品林投保面积覆盖面绩效指标为88%。2022年商品林实际承保面积76.00万亩（经林业部门测量，2022年商品林实际面积76.00万亩），商品林投保面积实际覆盖面100%，实际完成率113.64%。依评分标准此项得 1 分。</w:t>
      </w:r>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both"/>
        <w:textAlignment w:val="baseline"/>
        <w:rPr>
          <w:rFonts w:hint="eastAsia"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（7）</w:t>
      </w:r>
      <w:r>
        <w:rPr>
          <w:rFonts w:hint="default" w:ascii="仿宋" w:hAnsi="仿宋" w:eastAsia="仿宋" w:cs="仿宋"/>
          <w:color w:val="auto"/>
          <w:sz w:val="30"/>
          <w:szCs w:val="30"/>
          <w:highlight w:val="none"/>
          <w:lang w:val="en-US" w:eastAsia="zh-CN"/>
        </w:rPr>
        <w:t>柑橘投保面积覆盖面</w:t>
      </w:r>
      <w:r>
        <w:rPr>
          <w:rFonts w:hint="eastAsia" w:ascii="仿宋" w:hAnsi="仿宋" w:eastAsia="仿宋" w:cs="仿宋"/>
          <w:color w:val="auto"/>
          <w:sz w:val="30"/>
          <w:szCs w:val="30"/>
          <w:highlight w:val="none"/>
          <w:lang w:val="en-US" w:eastAsia="zh-CN"/>
        </w:rPr>
        <w:t>：满分 1 分，得分 1 分</w:t>
      </w:r>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both"/>
        <w:textAlignment w:val="baseline"/>
        <w:rPr>
          <w:rFonts w:hint="eastAsia" w:ascii="仿宋" w:hAnsi="仿宋" w:eastAsia="仿宋" w:cs="仿宋"/>
          <w:color w:val="auto"/>
          <w:sz w:val="30"/>
          <w:szCs w:val="30"/>
          <w:highlight w:val="none"/>
          <w:lang w:val="en-US" w:eastAsia="zh-CN"/>
        </w:rPr>
      </w:pPr>
      <w:r>
        <w:rPr>
          <w:rFonts w:hint="eastAsia" w:ascii="仿宋" w:hAnsi="仿宋" w:eastAsia="仿宋" w:cs="仿宋"/>
          <w:snapToGrid w:val="0"/>
          <w:color w:val="auto"/>
          <w:kern w:val="0"/>
          <w:sz w:val="30"/>
          <w:szCs w:val="30"/>
          <w:highlight w:val="none"/>
          <w:lang w:val="en-US" w:eastAsia="zh-CN"/>
        </w:rPr>
        <w:t>柑橘2022年预计存量38.5万亩，2022年计划承保面积11.00万亩，</w:t>
      </w:r>
      <w:r>
        <w:rPr>
          <w:rFonts w:hint="default" w:ascii="仿宋" w:hAnsi="仿宋" w:eastAsia="仿宋" w:cs="仿宋"/>
          <w:snapToGrid w:val="0"/>
          <w:color w:val="auto"/>
          <w:kern w:val="0"/>
          <w:sz w:val="30"/>
          <w:szCs w:val="30"/>
          <w:highlight w:val="none"/>
          <w:lang w:val="en-US" w:eastAsia="zh-CN"/>
        </w:rPr>
        <w:t>柑橘投保面积覆盖面</w:t>
      </w:r>
      <w:r>
        <w:rPr>
          <w:rFonts w:hint="eastAsia" w:ascii="仿宋" w:hAnsi="仿宋" w:eastAsia="仿宋" w:cs="仿宋"/>
          <w:snapToGrid w:val="0"/>
          <w:color w:val="auto"/>
          <w:kern w:val="0"/>
          <w:sz w:val="30"/>
          <w:szCs w:val="30"/>
          <w:highlight w:val="none"/>
          <w:lang w:val="en-US" w:eastAsia="zh-CN"/>
        </w:rPr>
        <w:t>绩效指标为29%；2022年柑橘实际承保面积11.00万亩，</w:t>
      </w:r>
      <w:r>
        <w:rPr>
          <w:rFonts w:hint="default" w:ascii="仿宋" w:hAnsi="仿宋" w:eastAsia="仿宋" w:cs="仿宋"/>
          <w:snapToGrid w:val="0"/>
          <w:color w:val="auto"/>
          <w:kern w:val="0"/>
          <w:sz w:val="30"/>
          <w:szCs w:val="30"/>
          <w:highlight w:val="none"/>
          <w:lang w:val="en-US" w:eastAsia="zh-CN"/>
        </w:rPr>
        <w:t>柑橘投保面积</w:t>
      </w:r>
      <w:r>
        <w:rPr>
          <w:rFonts w:hint="eastAsia" w:ascii="仿宋" w:hAnsi="仿宋" w:eastAsia="仿宋" w:cs="仿宋"/>
          <w:snapToGrid w:val="0"/>
          <w:color w:val="auto"/>
          <w:kern w:val="0"/>
          <w:sz w:val="30"/>
          <w:szCs w:val="30"/>
          <w:highlight w:val="none"/>
          <w:lang w:val="en-US" w:eastAsia="zh-CN"/>
        </w:rPr>
        <w:t>实际</w:t>
      </w:r>
      <w:r>
        <w:rPr>
          <w:rFonts w:hint="default" w:ascii="仿宋" w:hAnsi="仿宋" w:eastAsia="仿宋" w:cs="仿宋"/>
          <w:snapToGrid w:val="0"/>
          <w:color w:val="auto"/>
          <w:kern w:val="0"/>
          <w:sz w:val="30"/>
          <w:szCs w:val="30"/>
          <w:highlight w:val="none"/>
          <w:lang w:val="en-US" w:eastAsia="zh-CN"/>
        </w:rPr>
        <w:t>覆盖面</w:t>
      </w:r>
      <w:r>
        <w:rPr>
          <w:rFonts w:hint="eastAsia" w:ascii="仿宋" w:hAnsi="仿宋" w:eastAsia="仿宋" w:cs="仿宋"/>
          <w:snapToGrid w:val="0"/>
          <w:color w:val="auto"/>
          <w:kern w:val="0"/>
          <w:sz w:val="30"/>
          <w:szCs w:val="30"/>
          <w:highlight w:val="none"/>
          <w:lang w:val="en-US" w:eastAsia="zh-CN"/>
        </w:rPr>
        <w:t>29%，实际完成率100%。</w:t>
      </w:r>
      <w:r>
        <w:rPr>
          <w:rFonts w:hint="eastAsia" w:ascii="仿宋" w:hAnsi="仿宋" w:eastAsia="仿宋" w:cs="仿宋"/>
          <w:color w:val="auto"/>
          <w:sz w:val="30"/>
          <w:szCs w:val="30"/>
          <w:highlight w:val="none"/>
          <w:lang w:val="en-US" w:eastAsia="zh-CN"/>
        </w:rPr>
        <w:t>依评分标准此项得 1 分。</w:t>
      </w:r>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both"/>
        <w:textAlignment w:val="baseline"/>
        <w:rPr>
          <w:rFonts w:hint="eastAsia"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（8）黄桃投保面积覆盖面：满分 1 分，得分 1 分</w:t>
      </w:r>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both"/>
        <w:textAlignment w:val="baseline"/>
        <w:rPr>
          <w:rFonts w:hint="eastAsia" w:ascii="仿宋" w:hAnsi="仿宋" w:eastAsia="仿宋" w:cs="仿宋"/>
          <w:color w:val="auto"/>
          <w:sz w:val="30"/>
          <w:szCs w:val="30"/>
          <w:highlight w:val="none"/>
          <w:lang w:val="en-US" w:eastAsia="zh-CN"/>
        </w:rPr>
      </w:pPr>
      <w:r>
        <w:rPr>
          <w:rFonts w:hint="eastAsia" w:ascii="仿宋" w:hAnsi="仿宋" w:eastAsia="仿宋" w:cs="仿宋"/>
          <w:snapToGrid w:val="0"/>
          <w:color w:val="auto"/>
          <w:kern w:val="0"/>
          <w:sz w:val="30"/>
          <w:szCs w:val="30"/>
          <w:highlight w:val="none"/>
          <w:lang w:val="en-US" w:eastAsia="zh-CN"/>
        </w:rPr>
        <w:t>黄桃2022年预计存量3.00万亩，2022年计划承保面积1.00万亩，黄桃</w:t>
      </w:r>
      <w:r>
        <w:rPr>
          <w:rFonts w:hint="default" w:ascii="仿宋" w:hAnsi="仿宋" w:eastAsia="仿宋" w:cs="仿宋"/>
          <w:snapToGrid w:val="0"/>
          <w:color w:val="auto"/>
          <w:kern w:val="0"/>
          <w:sz w:val="30"/>
          <w:szCs w:val="30"/>
          <w:highlight w:val="none"/>
          <w:lang w:val="en-US" w:eastAsia="zh-CN"/>
        </w:rPr>
        <w:t>投保面积覆盖面</w:t>
      </w:r>
      <w:r>
        <w:rPr>
          <w:rFonts w:hint="eastAsia" w:ascii="仿宋" w:hAnsi="仿宋" w:eastAsia="仿宋" w:cs="仿宋"/>
          <w:snapToGrid w:val="0"/>
          <w:color w:val="auto"/>
          <w:kern w:val="0"/>
          <w:sz w:val="30"/>
          <w:szCs w:val="30"/>
          <w:highlight w:val="none"/>
          <w:lang w:val="en-US" w:eastAsia="zh-CN"/>
        </w:rPr>
        <w:t>绩效指标为33%。2022年黄桃实际承保面积1.00万亩，黄桃</w:t>
      </w:r>
      <w:r>
        <w:rPr>
          <w:rFonts w:hint="default" w:ascii="仿宋" w:hAnsi="仿宋" w:eastAsia="仿宋" w:cs="仿宋"/>
          <w:snapToGrid w:val="0"/>
          <w:color w:val="auto"/>
          <w:kern w:val="0"/>
          <w:sz w:val="30"/>
          <w:szCs w:val="30"/>
          <w:highlight w:val="none"/>
          <w:lang w:val="en-US" w:eastAsia="zh-CN"/>
        </w:rPr>
        <w:t>投保面积</w:t>
      </w:r>
      <w:r>
        <w:rPr>
          <w:rFonts w:hint="eastAsia" w:ascii="仿宋" w:hAnsi="仿宋" w:eastAsia="仿宋" w:cs="仿宋"/>
          <w:snapToGrid w:val="0"/>
          <w:color w:val="auto"/>
          <w:kern w:val="0"/>
          <w:sz w:val="30"/>
          <w:szCs w:val="30"/>
          <w:highlight w:val="none"/>
          <w:lang w:val="en-US" w:eastAsia="zh-CN"/>
        </w:rPr>
        <w:t>实际</w:t>
      </w:r>
      <w:r>
        <w:rPr>
          <w:rFonts w:hint="default" w:ascii="仿宋" w:hAnsi="仿宋" w:eastAsia="仿宋" w:cs="仿宋"/>
          <w:snapToGrid w:val="0"/>
          <w:color w:val="auto"/>
          <w:kern w:val="0"/>
          <w:sz w:val="30"/>
          <w:szCs w:val="30"/>
          <w:highlight w:val="none"/>
          <w:lang w:val="en-US" w:eastAsia="zh-CN"/>
        </w:rPr>
        <w:t>覆盖面</w:t>
      </w:r>
      <w:r>
        <w:rPr>
          <w:rFonts w:hint="eastAsia" w:ascii="仿宋" w:hAnsi="仿宋" w:eastAsia="仿宋" w:cs="仿宋"/>
          <w:snapToGrid w:val="0"/>
          <w:color w:val="auto"/>
          <w:kern w:val="0"/>
          <w:sz w:val="30"/>
          <w:szCs w:val="30"/>
          <w:highlight w:val="none"/>
          <w:lang w:val="en-US" w:eastAsia="zh-CN"/>
        </w:rPr>
        <w:t>33%，实际完成率100%。</w:t>
      </w:r>
      <w:r>
        <w:rPr>
          <w:rFonts w:hint="eastAsia" w:ascii="仿宋" w:hAnsi="仿宋" w:eastAsia="仿宋" w:cs="仿宋"/>
          <w:color w:val="auto"/>
          <w:sz w:val="30"/>
          <w:szCs w:val="30"/>
          <w:highlight w:val="none"/>
          <w:lang w:val="en-US" w:eastAsia="zh-CN"/>
        </w:rPr>
        <w:t>依评分标准此项得 1 分。</w:t>
      </w:r>
    </w:p>
    <w:p>
      <w:pPr>
        <w:pStyle w:val="11"/>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00" w:lineRule="exact"/>
        <w:ind w:left="0" w:right="0" w:firstLine="420"/>
        <w:jc w:val="both"/>
        <w:textAlignment w:val="auto"/>
        <w:rPr>
          <w:rFonts w:hint="default" w:ascii="宋体" w:hAnsi="宋体" w:cs="宋体"/>
          <w:i w:val="0"/>
          <w:iCs w:val="0"/>
          <w:caps w:val="0"/>
          <w:color w:val="333333"/>
          <w:spacing w:val="0"/>
          <w:sz w:val="28"/>
          <w:szCs w:val="28"/>
          <w:shd w:val="clear" w:color="auto" w:fill="FFFFFF"/>
          <w:lang w:val="en-US" w:eastAsia="zh-CN"/>
        </w:rPr>
      </w:pPr>
      <w:r>
        <w:rPr>
          <w:rFonts w:hint="eastAsia" w:ascii="仿宋" w:hAnsi="仿宋" w:eastAsia="仿宋" w:cs="仿宋"/>
          <w:snapToGrid w:val="0"/>
          <w:color w:val="auto"/>
          <w:kern w:val="0"/>
          <w:sz w:val="30"/>
          <w:szCs w:val="30"/>
          <w:highlight w:val="none"/>
          <w:lang w:val="en-US" w:eastAsia="zh-CN"/>
        </w:rPr>
        <w:t>（9）肉鸡保险覆盖率：</w:t>
      </w:r>
      <w:r>
        <w:rPr>
          <w:rFonts w:hint="eastAsia" w:ascii="仿宋" w:hAnsi="仿宋" w:eastAsia="仿宋" w:cs="仿宋"/>
          <w:color w:val="auto"/>
          <w:sz w:val="30"/>
          <w:szCs w:val="30"/>
          <w:highlight w:val="none"/>
          <w:lang w:val="en-US" w:eastAsia="zh-CN"/>
        </w:rPr>
        <w:t>满分 1 分，得分 1 分</w:t>
      </w:r>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both"/>
        <w:textAlignment w:val="baseline"/>
        <w:rPr>
          <w:rFonts w:hint="default" w:ascii="仿宋" w:hAnsi="仿宋" w:eastAsia="仿宋" w:cs="仿宋"/>
          <w:color w:val="auto"/>
          <w:sz w:val="30"/>
          <w:szCs w:val="30"/>
          <w:highlight w:val="none"/>
          <w:lang w:val="en-US" w:eastAsia="zh-CN"/>
        </w:rPr>
      </w:pPr>
      <w:r>
        <w:rPr>
          <w:rFonts w:hint="eastAsia" w:ascii="仿宋" w:hAnsi="仿宋" w:eastAsia="仿宋" w:cs="仿宋"/>
          <w:snapToGrid w:val="0"/>
          <w:color w:val="auto"/>
          <w:kern w:val="0"/>
          <w:sz w:val="30"/>
          <w:szCs w:val="30"/>
          <w:highlight w:val="none"/>
          <w:lang w:val="en-US" w:eastAsia="zh-CN"/>
        </w:rPr>
        <w:t>肉鸡2022年预计养殖500.00万羽毛，2022年计划承保166.67万羽，肉鸡保险覆盖率绩效指标为33%。2022年肉鸡实际承保166.67万羽，肉鸡保险覆盖率33%，实际完成率100%。依评分标准此项得 1 分。</w:t>
      </w:r>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both"/>
        <w:textAlignment w:val="baseline"/>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lang w:val="en-US" w:eastAsia="zh-CN"/>
        </w:rPr>
        <w:t>3、</w:t>
      </w:r>
      <w:r>
        <w:rPr>
          <w:rFonts w:hint="eastAsia" w:ascii="仿宋" w:hAnsi="仿宋" w:eastAsia="仿宋" w:cs="仿宋"/>
          <w:color w:val="auto"/>
          <w:sz w:val="30"/>
          <w:szCs w:val="30"/>
          <w:highlight w:val="none"/>
        </w:rPr>
        <w:t>质量指标（满分</w:t>
      </w:r>
      <w:r>
        <w:rPr>
          <w:rFonts w:hint="eastAsia" w:ascii="仿宋" w:hAnsi="仿宋" w:eastAsia="仿宋" w:cs="仿宋"/>
          <w:color w:val="auto"/>
          <w:sz w:val="30"/>
          <w:szCs w:val="30"/>
          <w:highlight w:val="none"/>
          <w:lang w:val="en-US" w:eastAsia="zh-CN"/>
        </w:rPr>
        <w:t xml:space="preserve"> 8 </w:t>
      </w:r>
      <w:r>
        <w:rPr>
          <w:rFonts w:hint="eastAsia" w:ascii="仿宋" w:hAnsi="仿宋" w:eastAsia="仿宋" w:cs="仿宋"/>
          <w:color w:val="auto"/>
          <w:sz w:val="30"/>
          <w:szCs w:val="30"/>
          <w:highlight w:val="none"/>
        </w:rPr>
        <w:t xml:space="preserve">分，得分 </w:t>
      </w:r>
      <w:r>
        <w:rPr>
          <w:rFonts w:hint="eastAsia" w:ascii="仿宋" w:hAnsi="仿宋" w:eastAsia="仿宋" w:cs="仿宋"/>
          <w:color w:val="auto"/>
          <w:sz w:val="30"/>
          <w:szCs w:val="30"/>
          <w:highlight w:val="none"/>
          <w:lang w:val="en-US" w:eastAsia="zh-CN"/>
        </w:rPr>
        <w:t xml:space="preserve">6 </w:t>
      </w:r>
      <w:r>
        <w:rPr>
          <w:rFonts w:hint="eastAsia" w:ascii="仿宋" w:hAnsi="仿宋" w:eastAsia="仿宋" w:cs="仿宋"/>
          <w:color w:val="auto"/>
          <w:sz w:val="30"/>
          <w:szCs w:val="30"/>
          <w:highlight w:val="none"/>
        </w:rPr>
        <w:t>分）</w:t>
      </w:r>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both"/>
        <w:textAlignment w:val="baseline"/>
        <w:rPr>
          <w:rFonts w:hint="default"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（1）绝对免赔额：满分 2 分，得分 2 分</w:t>
      </w:r>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firstLine="600" w:firstLineChars="200"/>
        <w:jc w:val="both"/>
        <w:textAlignment w:val="baseline"/>
        <w:rPr>
          <w:rFonts w:hint="eastAsia"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绝对免赔额2022年绩效指标为0元，绝对免赔额2022实际为0元。依据评分标准此项得 2 分。</w:t>
      </w:r>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firstLine="600" w:firstLineChars="200"/>
        <w:jc w:val="both"/>
        <w:textAlignment w:val="baseline"/>
        <w:rPr>
          <w:rFonts w:hint="eastAsia"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（2）理赔结案率：满分 2 分，得分 2 分</w:t>
      </w:r>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both"/>
        <w:textAlignment w:val="baseline"/>
        <w:rPr>
          <w:rFonts w:hint="default" w:ascii="仿宋" w:hAnsi="仿宋" w:eastAsia="仿宋" w:cs="仿宋"/>
          <w:color w:val="auto"/>
          <w:sz w:val="30"/>
          <w:szCs w:val="30"/>
          <w:highlight w:val="none"/>
          <w:lang w:val="en-US" w:eastAsia="zh-CN"/>
        </w:rPr>
      </w:pPr>
      <w:r>
        <w:rPr>
          <w:rFonts w:hint="eastAsia" w:ascii="仿宋" w:hAnsi="仿宋" w:eastAsia="仿宋" w:cs="仿宋"/>
          <w:snapToGrid w:val="0"/>
          <w:color w:val="auto"/>
          <w:kern w:val="0"/>
          <w:sz w:val="30"/>
          <w:szCs w:val="30"/>
          <w:highlight w:val="none"/>
          <w:lang w:val="en-US" w:eastAsia="zh-CN"/>
        </w:rPr>
        <w:t>2022年</w:t>
      </w:r>
      <w:r>
        <w:rPr>
          <w:rFonts w:hint="eastAsia" w:ascii="仿宋" w:hAnsi="仿宋" w:eastAsia="仿宋" w:cs="仿宋"/>
          <w:color w:val="auto"/>
          <w:sz w:val="30"/>
          <w:szCs w:val="30"/>
          <w:highlight w:val="none"/>
          <w:lang w:val="en-US" w:eastAsia="zh-CN"/>
        </w:rPr>
        <w:t>中国人民财产保险股份有限公司麻阳支公司、中华联合财产保险股份有限公司麻阳县支公司、中国太平洋财产保险股份有限公司麻阳支公司的理赔结案率均为100%</w:t>
      </w:r>
      <w:r>
        <w:rPr>
          <w:rFonts w:hint="eastAsia" w:ascii="仿宋" w:hAnsi="仿宋" w:eastAsia="仿宋" w:cs="仿宋"/>
          <w:snapToGrid w:val="0"/>
          <w:color w:val="auto"/>
          <w:kern w:val="0"/>
          <w:sz w:val="30"/>
          <w:szCs w:val="30"/>
          <w:highlight w:val="none"/>
          <w:lang w:val="en-US" w:eastAsia="zh-CN"/>
        </w:rPr>
        <w:t>。依评分标准此项得 2 分。</w:t>
      </w:r>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both"/>
        <w:textAlignment w:val="baseline"/>
        <w:rPr>
          <w:rFonts w:hint="eastAsia" w:ascii="宋体" w:hAnsi="宋体" w:cs="宋体"/>
          <w:i w:val="0"/>
          <w:iCs w:val="0"/>
          <w:caps w:val="0"/>
          <w:color w:val="333333"/>
          <w:spacing w:val="0"/>
          <w:sz w:val="28"/>
          <w:szCs w:val="28"/>
          <w:shd w:val="clear" w:color="auto" w:fill="FFFFFF"/>
          <w:lang w:val="en-US" w:eastAsia="zh-CN"/>
        </w:rPr>
      </w:pPr>
      <w:r>
        <w:rPr>
          <w:rFonts w:hint="eastAsia" w:ascii="仿宋" w:hAnsi="仿宋" w:eastAsia="仿宋" w:cs="仿宋"/>
          <w:color w:val="auto"/>
          <w:sz w:val="30"/>
          <w:szCs w:val="30"/>
          <w:highlight w:val="none"/>
          <w:lang w:val="en-US" w:eastAsia="zh-CN"/>
        </w:rPr>
        <w:t>（3）理赔的户数/投保户数：满分 2 分，得分0 分</w:t>
      </w:r>
    </w:p>
    <w:p>
      <w:pPr>
        <w:keepNext w:val="0"/>
        <w:keepLines w:val="0"/>
        <w:pageBreakBefore w:val="0"/>
        <w:widowControl w:val="0"/>
        <w:kinsoku w:val="0"/>
        <w:wordWrap/>
        <w:overflowPunct/>
        <w:topLinePunct w:val="0"/>
        <w:autoSpaceDE w:val="0"/>
        <w:autoSpaceDN w:val="0"/>
        <w:bidi w:val="0"/>
        <w:adjustRightInd w:val="0"/>
        <w:snapToGrid w:val="0"/>
        <w:spacing w:before="0" w:after="0" w:line="540" w:lineRule="exact"/>
        <w:ind w:left="23" w:firstLine="561"/>
        <w:jc w:val="both"/>
        <w:textAlignment w:val="baseline"/>
        <w:rPr>
          <w:rFonts w:hint="eastAsia"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理赔的户数/投保户数的绩效指标为50%。</w:t>
      </w:r>
      <w:r>
        <w:rPr>
          <w:rFonts w:hint="default" w:ascii="仿宋" w:hAnsi="仿宋" w:eastAsia="仿宋" w:cs="仿宋"/>
          <w:color w:val="auto"/>
          <w:sz w:val="30"/>
          <w:szCs w:val="30"/>
          <w:highlight w:val="none"/>
          <w:lang w:val="en-US" w:eastAsia="zh-CN"/>
        </w:rPr>
        <w:t>2022年</w:t>
      </w:r>
      <w:r>
        <w:rPr>
          <w:rFonts w:hint="eastAsia" w:ascii="仿宋" w:hAnsi="仿宋" w:eastAsia="仿宋" w:cs="仿宋"/>
          <w:color w:val="auto"/>
          <w:sz w:val="30"/>
          <w:szCs w:val="30"/>
          <w:highlight w:val="none"/>
          <w:lang w:val="en-US" w:eastAsia="zh-CN"/>
        </w:rPr>
        <w:t>农业保险</w:t>
      </w:r>
      <w:r>
        <w:rPr>
          <w:rFonts w:hint="default" w:ascii="仿宋" w:hAnsi="仿宋" w:eastAsia="仿宋" w:cs="仿宋"/>
          <w:color w:val="auto"/>
          <w:sz w:val="30"/>
          <w:szCs w:val="30"/>
          <w:highlight w:val="none"/>
          <w:lang w:val="en-US" w:eastAsia="zh-CN"/>
        </w:rPr>
        <w:t>，全年投保184282户次</w:t>
      </w:r>
      <w:r>
        <w:rPr>
          <w:rFonts w:hint="eastAsia" w:ascii="仿宋" w:hAnsi="仿宋" w:eastAsia="仿宋" w:cs="仿宋"/>
          <w:color w:val="auto"/>
          <w:sz w:val="30"/>
          <w:szCs w:val="30"/>
          <w:highlight w:val="none"/>
          <w:lang w:val="en-US" w:eastAsia="zh-CN"/>
        </w:rPr>
        <w:t>，</w:t>
      </w:r>
      <w:r>
        <w:rPr>
          <w:rFonts w:hint="default" w:ascii="仿宋" w:hAnsi="仿宋" w:eastAsia="仿宋" w:cs="仿宋"/>
          <w:color w:val="auto"/>
          <w:sz w:val="30"/>
          <w:szCs w:val="30"/>
          <w:highlight w:val="none"/>
          <w:lang w:val="en-US" w:eastAsia="zh-CN"/>
        </w:rPr>
        <w:t>理赔1501户次</w:t>
      </w:r>
      <w:r>
        <w:rPr>
          <w:rFonts w:hint="eastAsia" w:ascii="仿宋" w:hAnsi="仿宋" w:eastAsia="仿宋" w:cs="仿宋"/>
          <w:color w:val="auto"/>
          <w:sz w:val="30"/>
          <w:szCs w:val="30"/>
          <w:highlight w:val="none"/>
          <w:lang w:val="en-US" w:eastAsia="zh-CN"/>
        </w:rPr>
        <w:t>，理赔的户数/投保户数的比例为0.81%。依评分标准此项扣 2 分，得 0 分。</w:t>
      </w:r>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both"/>
        <w:textAlignment w:val="baseline"/>
        <w:rPr>
          <w:rFonts w:hint="eastAsia"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（4）承保理赔公示率：满分 2 分，得分 2 分</w:t>
      </w:r>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both"/>
        <w:textAlignment w:val="baseline"/>
        <w:rPr>
          <w:rFonts w:hint="default"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根据中国人民财产保险股份有限公司麻阳支公司、中华联合财产保险股份有限公司麻阳县支公司、中国太平洋财产保险股份有限公司麻阳支公司提供的资料，2022年农业保险资金承保理赔公示率100%。依评分标准此项得 2 分。</w:t>
      </w:r>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both"/>
        <w:textAlignment w:val="baseline"/>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lang w:val="en-US" w:eastAsia="zh-CN"/>
        </w:rPr>
        <w:t>4</w:t>
      </w:r>
      <w:r>
        <w:rPr>
          <w:rFonts w:hint="eastAsia" w:ascii="仿宋" w:hAnsi="仿宋" w:eastAsia="仿宋" w:cs="仿宋"/>
          <w:color w:val="auto"/>
          <w:sz w:val="30"/>
          <w:szCs w:val="30"/>
          <w:highlight w:val="none"/>
        </w:rPr>
        <w:t>、时效指标（满分</w:t>
      </w:r>
      <w:r>
        <w:rPr>
          <w:rFonts w:hint="eastAsia" w:ascii="仿宋" w:hAnsi="仿宋" w:eastAsia="仿宋" w:cs="仿宋"/>
          <w:color w:val="auto"/>
          <w:sz w:val="30"/>
          <w:szCs w:val="30"/>
          <w:highlight w:val="none"/>
          <w:lang w:val="en-US" w:eastAsia="zh-CN"/>
        </w:rPr>
        <w:t xml:space="preserve"> 9</w:t>
      </w:r>
      <w:r>
        <w:rPr>
          <w:rFonts w:hint="eastAsia" w:ascii="仿宋" w:hAnsi="仿宋" w:eastAsia="仿宋" w:cs="仿宋"/>
          <w:color w:val="auto"/>
          <w:sz w:val="30"/>
          <w:szCs w:val="30"/>
          <w:highlight w:val="none"/>
        </w:rPr>
        <w:t xml:space="preserve"> 分，得分 </w:t>
      </w:r>
      <w:r>
        <w:rPr>
          <w:rFonts w:hint="eastAsia" w:ascii="仿宋" w:hAnsi="仿宋" w:eastAsia="仿宋" w:cs="仿宋"/>
          <w:color w:val="auto"/>
          <w:sz w:val="30"/>
          <w:szCs w:val="30"/>
          <w:highlight w:val="none"/>
          <w:lang w:val="en-US" w:eastAsia="zh-CN"/>
        </w:rPr>
        <w:t>9</w:t>
      </w:r>
      <w:r>
        <w:rPr>
          <w:rFonts w:hint="eastAsia" w:ascii="仿宋" w:hAnsi="仿宋" w:eastAsia="仿宋" w:cs="仿宋"/>
          <w:color w:val="auto"/>
          <w:sz w:val="30"/>
          <w:szCs w:val="30"/>
          <w:highlight w:val="none"/>
        </w:rPr>
        <w:t xml:space="preserve"> 分）</w:t>
      </w:r>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firstLine="600" w:firstLineChars="200"/>
        <w:jc w:val="both"/>
        <w:textAlignment w:val="baseline"/>
        <w:rPr>
          <w:rFonts w:hint="eastAsia"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 xml:space="preserve">完成及时性：满分 9 分，得分 9 分 </w:t>
      </w:r>
    </w:p>
    <w:p>
      <w:pPr>
        <w:keepNext w:val="0"/>
        <w:keepLines w:val="0"/>
        <w:pageBreakBefore w:val="0"/>
        <w:widowControl w:val="0"/>
        <w:kinsoku w:val="0"/>
        <w:wordWrap/>
        <w:overflowPunct/>
        <w:topLinePunct w:val="0"/>
        <w:autoSpaceDE w:val="0"/>
        <w:autoSpaceDN w:val="0"/>
        <w:bidi w:val="0"/>
        <w:adjustRightInd w:val="0"/>
        <w:snapToGrid w:val="0"/>
        <w:spacing w:before="0" w:after="0" w:line="540" w:lineRule="exact"/>
        <w:ind w:firstLine="600" w:firstLineChars="200"/>
        <w:jc w:val="both"/>
        <w:textAlignment w:val="baseline"/>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lang w:val="en-US" w:eastAsia="zh-CN"/>
        </w:rPr>
        <w:t xml:space="preserve">截止2022年12月31日，中国人民财产保险股份有限公司麻阳支公司、中华联合财产保险股份有限公司麻阳县支公司、中国太平洋财产保险股份有限公司麻阳支公司均无未决赔款，各项工作完成及时率100%。依评分标准此项得 9 分。        </w:t>
      </w:r>
      <w:r>
        <w:rPr>
          <w:rFonts w:hint="eastAsia" w:ascii="仿宋" w:hAnsi="仿宋" w:eastAsia="仿宋" w:cs="仿宋"/>
          <w:color w:val="auto"/>
          <w:sz w:val="30"/>
          <w:szCs w:val="30"/>
          <w:highlight w:val="none"/>
        </w:rPr>
        <w:t xml:space="preserve">         </w:t>
      </w:r>
    </w:p>
    <w:p>
      <w:pPr>
        <w:pStyle w:val="3"/>
        <w:keepNext/>
        <w:keepLines/>
        <w:pageBreakBefore w:val="0"/>
        <w:widowControl w:val="0"/>
        <w:kinsoku/>
        <w:wordWrap/>
        <w:overflowPunct/>
        <w:topLinePunct w:val="0"/>
        <w:autoSpaceDE/>
        <w:autoSpaceDN/>
        <w:bidi w:val="0"/>
        <w:adjustRightInd/>
        <w:snapToGrid/>
        <w:spacing w:before="0" w:beforeAutospacing="0" w:after="0" w:afterAutospacing="0" w:line="360" w:lineRule="auto"/>
        <w:ind w:firstLine="643" w:firstLineChars="200"/>
        <w:jc w:val="both"/>
        <w:textAlignment w:val="auto"/>
        <w:outlineLvl w:val="1"/>
        <w:rPr>
          <w:rFonts w:hint="eastAsia" w:ascii="Cambria" w:hAnsi="Cambria" w:eastAsia="楷体_GB2312" w:cs="Times New Roman"/>
          <w:bCs/>
          <w:snapToGrid/>
          <w:kern w:val="2"/>
          <w:sz w:val="32"/>
          <w:szCs w:val="32"/>
          <w:lang w:val="en-US" w:eastAsia="zh-CN" w:bidi="ar-SA"/>
        </w:rPr>
      </w:pPr>
      <w:bookmarkStart w:id="18" w:name="_bookmark14"/>
      <w:bookmarkEnd w:id="18"/>
      <w:bookmarkStart w:id="19" w:name="_Toc1410"/>
      <w:r>
        <w:rPr>
          <w:rFonts w:hint="eastAsia" w:ascii="Cambria" w:hAnsi="Cambria" w:eastAsia="楷体_GB2312" w:cs="Times New Roman"/>
          <w:bCs/>
          <w:snapToGrid/>
          <w:kern w:val="2"/>
          <w:sz w:val="32"/>
          <w:szCs w:val="32"/>
          <w:lang w:val="en-US" w:eastAsia="zh-CN" w:bidi="ar-SA"/>
        </w:rPr>
        <w:t>（四） 效果</w:t>
      </w:r>
      <w:bookmarkEnd w:id="19"/>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both"/>
        <w:textAlignment w:val="baseline"/>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根据评</w:t>
      </w:r>
      <w:r>
        <w:rPr>
          <w:rFonts w:hint="eastAsia" w:ascii="仿宋" w:hAnsi="仿宋" w:eastAsia="仿宋" w:cs="仿宋"/>
          <w:color w:val="auto"/>
          <w:sz w:val="30"/>
          <w:szCs w:val="30"/>
          <w:highlight w:val="none"/>
          <w:lang w:val="en-US" w:eastAsia="zh-CN"/>
        </w:rPr>
        <w:t>分标准</w:t>
      </w:r>
      <w:r>
        <w:rPr>
          <w:rFonts w:hint="eastAsia" w:ascii="仿宋" w:hAnsi="仿宋" w:eastAsia="仿宋" w:cs="仿宋"/>
          <w:color w:val="auto"/>
          <w:sz w:val="30"/>
          <w:szCs w:val="30"/>
          <w:highlight w:val="none"/>
        </w:rPr>
        <w:t>，效果评价</w:t>
      </w:r>
      <w:r>
        <w:rPr>
          <w:rFonts w:hint="eastAsia" w:ascii="仿宋" w:hAnsi="仿宋" w:eastAsia="仿宋" w:cs="仿宋"/>
          <w:color w:val="auto"/>
          <w:sz w:val="30"/>
          <w:szCs w:val="30"/>
          <w:highlight w:val="none"/>
          <w:lang w:val="en-US" w:eastAsia="zh-CN"/>
        </w:rPr>
        <w:t>总分 25 分，</w:t>
      </w:r>
      <w:r>
        <w:rPr>
          <w:rFonts w:hint="eastAsia" w:ascii="仿宋" w:hAnsi="仿宋" w:eastAsia="仿宋" w:cs="仿宋"/>
          <w:color w:val="auto"/>
          <w:sz w:val="30"/>
          <w:szCs w:val="30"/>
          <w:highlight w:val="none"/>
        </w:rPr>
        <w:t>得</w:t>
      </w:r>
      <w:r>
        <w:rPr>
          <w:rFonts w:hint="eastAsia" w:ascii="仿宋" w:hAnsi="仿宋" w:eastAsia="仿宋" w:cs="仿宋"/>
          <w:color w:val="auto"/>
          <w:sz w:val="30"/>
          <w:szCs w:val="30"/>
          <w:highlight w:val="none"/>
          <w:lang w:val="en-US" w:eastAsia="zh-CN"/>
        </w:rPr>
        <w:t xml:space="preserve"> 25 </w:t>
      </w:r>
      <w:r>
        <w:rPr>
          <w:rFonts w:hint="eastAsia" w:ascii="仿宋" w:hAnsi="仿宋" w:eastAsia="仿宋" w:cs="仿宋"/>
          <w:color w:val="auto"/>
          <w:sz w:val="30"/>
          <w:szCs w:val="30"/>
          <w:highlight w:val="none"/>
        </w:rPr>
        <w:t>分</w:t>
      </w:r>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both"/>
        <w:textAlignment w:val="baseline"/>
        <w:rPr>
          <w:rFonts w:hint="eastAsia"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1、经济效益：</w:t>
      </w:r>
      <w:r>
        <w:rPr>
          <w:rFonts w:hint="eastAsia" w:ascii="仿宋" w:hAnsi="仿宋" w:eastAsia="仿宋" w:cs="仿宋"/>
          <w:color w:val="auto"/>
          <w:sz w:val="30"/>
          <w:szCs w:val="30"/>
          <w:highlight w:val="none"/>
        </w:rPr>
        <w:t>（满分</w:t>
      </w:r>
      <w:r>
        <w:rPr>
          <w:rFonts w:hint="eastAsia" w:ascii="仿宋" w:hAnsi="仿宋" w:eastAsia="仿宋" w:cs="仿宋"/>
          <w:color w:val="auto"/>
          <w:sz w:val="30"/>
          <w:szCs w:val="30"/>
          <w:highlight w:val="none"/>
          <w:lang w:val="en-US" w:eastAsia="zh-CN"/>
        </w:rPr>
        <w:t xml:space="preserve"> 9</w:t>
      </w:r>
      <w:r>
        <w:rPr>
          <w:rFonts w:hint="eastAsia" w:ascii="仿宋" w:hAnsi="仿宋" w:eastAsia="仿宋" w:cs="仿宋"/>
          <w:color w:val="auto"/>
          <w:sz w:val="30"/>
          <w:szCs w:val="30"/>
          <w:highlight w:val="none"/>
        </w:rPr>
        <w:t xml:space="preserve"> 分，得分 </w:t>
      </w:r>
      <w:r>
        <w:rPr>
          <w:rFonts w:hint="eastAsia" w:ascii="仿宋" w:hAnsi="仿宋" w:eastAsia="仿宋" w:cs="仿宋"/>
          <w:color w:val="auto"/>
          <w:sz w:val="30"/>
          <w:szCs w:val="30"/>
          <w:highlight w:val="none"/>
          <w:lang w:val="en-US" w:eastAsia="zh-CN"/>
        </w:rPr>
        <w:t>9</w:t>
      </w:r>
      <w:r>
        <w:rPr>
          <w:rFonts w:hint="eastAsia" w:ascii="仿宋" w:hAnsi="仿宋" w:eastAsia="仿宋" w:cs="仿宋"/>
          <w:color w:val="auto"/>
          <w:sz w:val="30"/>
          <w:szCs w:val="30"/>
          <w:highlight w:val="none"/>
        </w:rPr>
        <w:t xml:space="preserve"> 分）</w:t>
      </w:r>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both"/>
        <w:textAlignment w:val="baseline"/>
        <w:rPr>
          <w:rFonts w:hint="eastAsia"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（1）</w:t>
      </w:r>
      <w:r>
        <w:rPr>
          <w:rFonts w:hint="default" w:ascii="仿宋" w:hAnsi="仿宋" w:eastAsia="仿宋" w:cs="仿宋"/>
          <w:color w:val="auto"/>
          <w:sz w:val="30"/>
          <w:szCs w:val="30"/>
          <w:highlight w:val="none"/>
          <w:lang w:val="en-US" w:eastAsia="zh-CN"/>
        </w:rPr>
        <w:t>风险保障总额</w:t>
      </w:r>
      <w:r>
        <w:rPr>
          <w:rFonts w:hint="eastAsia" w:ascii="仿宋" w:hAnsi="仿宋" w:eastAsia="仿宋" w:cs="仿宋"/>
          <w:color w:val="auto"/>
          <w:sz w:val="30"/>
          <w:szCs w:val="30"/>
          <w:highlight w:val="none"/>
          <w:lang w:val="en-US" w:eastAsia="zh-CN"/>
        </w:rPr>
        <w:t>：</w:t>
      </w:r>
      <w:r>
        <w:rPr>
          <w:rFonts w:hint="eastAsia" w:ascii="仿宋" w:hAnsi="仿宋" w:eastAsia="仿宋" w:cs="仿宋"/>
          <w:color w:val="auto"/>
          <w:sz w:val="30"/>
          <w:szCs w:val="30"/>
          <w:highlight w:val="none"/>
        </w:rPr>
        <w:t>满分</w:t>
      </w:r>
      <w:r>
        <w:rPr>
          <w:rFonts w:hint="eastAsia" w:ascii="仿宋" w:hAnsi="仿宋" w:eastAsia="仿宋" w:cs="仿宋"/>
          <w:color w:val="auto"/>
          <w:sz w:val="30"/>
          <w:szCs w:val="30"/>
          <w:highlight w:val="none"/>
          <w:lang w:val="en-US" w:eastAsia="zh-CN"/>
        </w:rPr>
        <w:t xml:space="preserve"> 5</w:t>
      </w:r>
      <w:r>
        <w:rPr>
          <w:rFonts w:hint="eastAsia" w:ascii="仿宋" w:hAnsi="仿宋" w:eastAsia="仿宋" w:cs="仿宋"/>
          <w:color w:val="auto"/>
          <w:sz w:val="30"/>
          <w:szCs w:val="30"/>
          <w:highlight w:val="none"/>
        </w:rPr>
        <w:t xml:space="preserve"> 分，得分 </w:t>
      </w:r>
      <w:r>
        <w:rPr>
          <w:rFonts w:hint="eastAsia" w:ascii="仿宋" w:hAnsi="仿宋" w:eastAsia="仿宋" w:cs="仿宋"/>
          <w:color w:val="auto"/>
          <w:sz w:val="30"/>
          <w:szCs w:val="30"/>
          <w:highlight w:val="none"/>
          <w:lang w:val="en-US" w:eastAsia="zh-CN"/>
        </w:rPr>
        <w:t xml:space="preserve">5 </w:t>
      </w:r>
      <w:r>
        <w:rPr>
          <w:rFonts w:hint="eastAsia" w:ascii="仿宋" w:hAnsi="仿宋" w:eastAsia="仿宋" w:cs="仿宋"/>
          <w:color w:val="auto"/>
          <w:sz w:val="30"/>
          <w:szCs w:val="30"/>
          <w:highlight w:val="none"/>
        </w:rPr>
        <w:t>分</w:t>
      </w:r>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both"/>
        <w:textAlignment w:val="baseline"/>
        <w:rPr>
          <w:rFonts w:hint="default" w:ascii="仿宋" w:hAnsi="仿宋" w:eastAsia="仿宋" w:cs="仿宋"/>
          <w:color w:val="auto"/>
          <w:sz w:val="30"/>
          <w:szCs w:val="30"/>
          <w:highlight w:val="none"/>
          <w:lang w:val="en-US" w:eastAsia="zh-CN"/>
        </w:rPr>
      </w:pPr>
      <w:r>
        <w:rPr>
          <w:rFonts w:hint="eastAsia" w:ascii="仿宋" w:hAnsi="仿宋" w:eastAsia="仿宋" w:cs="仿宋"/>
          <w:snapToGrid w:val="0"/>
          <w:color w:val="auto"/>
          <w:kern w:val="0"/>
          <w:sz w:val="30"/>
          <w:szCs w:val="30"/>
          <w:highlight w:val="none"/>
          <w:lang w:val="en-US" w:eastAsia="zh-CN"/>
        </w:rPr>
        <w:t>2022年农业保险资金风险保障金额151313.20万元，较2021年有比较大的提高。依评分标准此项得 5 分。</w:t>
      </w:r>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both"/>
        <w:textAlignment w:val="baseline"/>
        <w:rPr>
          <w:rFonts w:hint="eastAsia"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（2）农业保险综合费率：满分 4 分，得分 4 分</w:t>
      </w:r>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both"/>
        <w:textAlignment w:val="baseline"/>
        <w:rPr>
          <w:rFonts w:hint="default"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2022农业保险综合费率的绩效指标为≤20%，2022年农业保险综合费率实际为0.72%。依评分标准此项得 4 分。</w:t>
      </w:r>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both"/>
        <w:textAlignment w:val="baseline"/>
        <w:rPr>
          <w:rFonts w:hint="eastAsia"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2、社会效益（满分 8 分，得分 8 分）</w:t>
      </w:r>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both"/>
        <w:textAlignment w:val="baseline"/>
        <w:rPr>
          <w:rFonts w:hint="eastAsia"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经办机构县级分支机构覆盖率：满分 8 分，得分 8 分</w:t>
      </w:r>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both"/>
        <w:textAlignment w:val="baseline"/>
        <w:rPr>
          <w:rFonts w:hint="default"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中华联合财产保险股份有限公司麻阳县支公司承保的森林险、养殖险、种植险，业务覆盖全县18个乡镇和212个行政村。中华联合财产保险股份有限公司麻阳县支公司在全县境内设立了1个乡镇营销服务部、18个乡镇农业保险办公室、212个村级农业保险服务点。中国人民财产保险股份有限公司麻阳支公司承保的森林险、养殖险、种植险，业务覆盖全县18个乡镇和32个行政村。中国人民财产保险股份有限公司麻阳支公司在全县境内设立了2个乡镇营销服务部、18个乡镇农业保险办公室（服务站）、32个村级农业保险办公室（服务点）。中国太平洋财产保险股份有限公司麻阳支公司在整个县域建立了全覆盖的农业保险基层服务体系，在各乡镇设立保险专（兼）干。</w:t>
      </w:r>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both"/>
        <w:textAlignment w:val="baseline"/>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lang w:val="en-US" w:eastAsia="zh-CN"/>
        </w:rPr>
        <w:t>3</w:t>
      </w:r>
      <w:r>
        <w:rPr>
          <w:rFonts w:hint="eastAsia" w:ascii="仿宋" w:hAnsi="仿宋" w:eastAsia="仿宋" w:cs="仿宋"/>
          <w:color w:val="auto"/>
          <w:sz w:val="30"/>
          <w:szCs w:val="30"/>
          <w:highlight w:val="none"/>
        </w:rPr>
        <w:t>、</w:t>
      </w:r>
      <w:r>
        <w:rPr>
          <w:rFonts w:hint="eastAsia" w:ascii="仿宋" w:hAnsi="仿宋" w:eastAsia="仿宋" w:cs="仿宋"/>
          <w:color w:val="auto"/>
          <w:sz w:val="30"/>
          <w:szCs w:val="30"/>
          <w:highlight w:val="none"/>
          <w:lang w:val="en-US" w:eastAsia="zh-CN"/>
        </w:rPr>
        <w:t>参保农户</w:t>
      </w:r>
      <w:r>
        <w:rPr>
          <w:rFonts w:hint="eastAsia" w:ascii="仿宋" w:hAnsi="仿宋" w:eastAsia="仿宋" w:cs="仿宋"/>
          <w:color w:val="auto"/>
          <w:sz w:val="30"/>
          <w:szCs w:val="30"/>
          <w:highlight w:val="none"/>
        </w:rPr>
        <w:t xml:space="preserve">满意度：满分 </w:t>
      </w:r>
      <w:r>
        <w:rPr>
          <w:rFonts w:hint="eastAsia" w:ascii="仿宋" w:hAnsi="仿宋" w:eastAsia="仿宋" w:cs="仿宋"/>
          <w:color w:val="auto"/>
          <w:sz w:val="30"/>
          <w:szCs w:val="30"/>
          <w:highlight w:val="none"/>
          <w:lang w:val="en-US" w:eastAsia="zh-CN"/>
        </w:rPr>
        <w:t>8</w:t>
      </w:r>
      <w:r>
        <w:rPr>
          <w:rFonts w:hint="eastAsia" w:ascii="仿宋" w:hAnsi="仿宋" w:eastAsia="仿宋" w:cs="仿宋"/>
          <w:color w:val="auto"/>
          <w:sz w:val="30"/>
          <w:szCs w:val="30"/>
          <w:highlight w:val="none"/>
        </w:rPr>
        <w:t xml:space="preserve"> 分，得分 </w:t>
      </w:r>
      <w:r>
        <w:rPr>
          <w:rFonts w:hint="eastAsia" w:ascii="仿宋" w:hAnsi="仿宋" w:eastAsia="仿宋" w:cs="仿宋"/>
          <w:color w:val="auto"/>
          <w:sz w:val="30"/>
          <w:szCs w:val="30"/>
          <w:highlight w:val="none"/>
          <w:lang w:val="en-US" w:eastAsia="zh-CN"/>
        </w:rPr>
        <w:t xml:space="preserve">8 </w:t>
      </w:r>
      <w:r>
        <w:rPr>
          <w:rFonts w:hint="eastAsia" w:ascii="仿宋" w:hAnsi="仿宋" w:eastAsia="仿宋" w:cs="仿宋"/>
          <w:color w:val="auto"/>
          <w:sz w:val="30"/>
          <w:szCs w:val="30"/>
          <w:highlight w:val="none"/>
        </w:rPr>
        <w:t>分</w:t>
      </w:r>
    </w:p>
    <w:p>
      <w:pPr>
        <w:keepNext w:val="0"/>
        <w:keepLines w:val="0"/>
        <w:pageBreakBefore w:val="0"/>
        <w:widowControl w:val="0"/>
        <w:kinsoku w:val="0"/>
        <w:wordWrap/>
        <w:overflowPunct/>
        <w:topLinePunct w:val="0"/>
        <w:autoSpaceDE w:val="0"/>
        <w:autoSpaceDN w:val="0"/>
        <w:bidi w:val="0"/>
        <w:adjustRightInd w:val="0"/>
        <w:snapToGrid w:val="0"/>
        <w:spacing w:before="0" w:after="0" w:line="540" w:lineRule="exact"/>
        <w:ind w:left="23" w:firstLine="561"/>
        <w:jc w:val="both"/>
        <w:textAlignment w:val="baseline"/>
        <w:rPr>
          <w:rFonts w:hint="default"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绩效评价小组根据方案设计了参保满意度调查问卷</w:t>
      </w:r>
      <w:r>
        <w:rPr>
          <w:rFonts w:hint="eastAsia" w:ascii="Times New Roman" w:hAnsi="Times New Roman" w:eastAsia="仿宋_GB2312" w:cs="Times New Roman"/>
          <w:sz w:val="32"/>
          <w:szCs w:val="32"/>
          <w:highlight w:val="none"/>
          <w:lang w:val="en-US" w:eastAsia="zh-CN"/>
        </w:rPr>
        <w:t>，</w:t>
      </w:r>
      <w:r>
        <w:rPr>
          <w:rFonts w:hint="eastAsia" w:ascii="仿宋" w:hAnsi="仿宋" w:eastAsia="仿宋" w:cs="仿宋"/>
          <w:color w:val="auto"/>
          <w:sz w:val="30"/>
          <w:szCs w:val="30"/>
          <w:highlight w:val="none"/>
          <w:lang w:val="en-US" w:eastAsia="zh-CN"/>
        </w:rPr>
        <w:t>并</w:t>
      </w:r>
      <w:r>
        <w:rPr>
          <w:rFonts w:hint="eastAsia" w:ascii="仿宋" w:hAnsi="仿宋" w:eastAsia="仿宋" w:cs="仿宋"/>
          <w:color w:val="auto"/>
          <w:sz w:val="30"/>
          <w:szCs w:val="30"/>
          <w:highlight w:val="none"/>
        </w:rPr>
        <w:t>向</w:t>
      </w:r>
      <w:r>
        <w:rPr>
          <w:rFonts w:hint="eastAsia" w:ascii="仿宋" w:hAnsi="仿宋" w:eastAsia="仿宋" w:cs="仿宋"/>
          <w:color w:val="auto"/>
          <w:sz w:val="30"/>
          <w:szCs w:val="30"/>
          <w:highlight w:val="none"/>
          <w:lang w:val="en-US" w:eastAsia="zh-CN"/>
        </w:rPr>
        <w:t>参保群众发放调查问卷，通过对回收的100份有效问卷的分析，受益群众满意度为100%，依据评分标准得 8 分。</w:t>
      </w:r>
    </w:p>
    <w:p>
      <w:pPr>
        <w:pStyle w:val="2"/>
        <w:widowControl w:val="0"/>
        <w:kinsoku/>
        <w:autoSpaceDE/>
        <w:autoSpaceDN/>
        <w:bidi w:val="0"/>
        <w:adjustRightInd/>
        <w:snapToGrid/>
        <w:spacing w:before="0" w:beforeLines="-2147483648" w:beforeAutospacing="0" w:after="0" w:afterLines="-2147483648" w:afterAutospacing="0" w:line="360" w:lineRule="auto"/>
        <w:ind w:firstLine="643" w:firstLineChars="200"/>
        <w:jc w:val="both"/>
        <w:textAlignment w:val="auto"/>
        <w:rPr>
          <w:rFonts w:hint="eastAsia" w:ascii="Calibri" w:hAnsi="Calibri" w:eastAsia="黑体" w:cs="Times New Roman"/>
          <w:bCs/>
          <w:snapToGrid/>
          <w:sz w:val="32"/>
          <w:szCs w:val="44"/>
          <w:lang w:val="en-US" w:eastAsia="zh-CN" w:bidi="ar-SA"/>
        </w:rPr>
      </w:pPr>
      <w:bookmarkStart w:id="20" w:name="_Toc7862"/>
      <w:r>
        <w:rPr>
          <w:rFonts w:hint="eastAsia" w:ascii="Calibri" w:hAnsi="Calibri" w:eastAsia="黑体" w:cs="Times New Roman"/>
          <w:bCs/>
          <w:snapToGrid/>
          <w:sz w:val="32"/>
          <w:szCs w:val="44"/>
          <w:lang w:val="en-US" w:eastAsia="zh-CN" w:bidi="ar-SA"/>
        </w:rPr>
        <w:t>四、评价结论</w:t>
      </w:r>
      <w:bookmarkEnd w:id="20"/>
    </w:p>
    <w:p>
      <w:pPr>
        <w:keepNext w:val="0"/>
        <w:keepLines w:val="0"/>
        <w:pageBreakBefore w:val="0"/>
        <w:widowControl w:val="0"/>
        <w:kinsoku w:val="0"/>
        <w:wordWrap/>
        <w:overflowPunct/>
        <w:topLinePunct w:val="0"/>
        <w:autoSpaceDE w:val="0"/>
        <w:autoSpaceDN w:val="0"/>
        <w:bidi w:val="0"/>
        <w:adjustRightInd w:val="0"/>
        <w:snapToGrid w:val="0"/>
        <w:spacing w:before="0" w:after="0" w:line="540" w:lineRule="exact"/>
        <w:ind w:left="23" w:firstLine="561"/>
        <w:jc w:val="both"/>
        <w:textAlignment w:val="baseline"/>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根据评价小组的绩效分析，</w:t>
      </w:r>
      <w:r>
        <w:rPr>
          <w:rFonts w:hint="eastAsia" w:ascii="仿宋" w:hAnsi="仿宋" w:eastAsia="仿宋" w:cs="仿宋"/>
          <w:color w:val="auto"/>
          <w:sz w:val="30"/>
          <w:szCs w:val="30"/>
          <w:highlight w:val="none"/>
          <w:lang w:val="en-US" w:eastAsia="zh-CN"/>
        </w:rPr>
        <w:t>麻阳苗族自治县2022农业保险资金绩效</w:t>
      </w:r>
      <w:r>
        <w:rPr>
          <w:rFonts w:hint="eastAsia" w:ascii="仿宋" w:hAnsi="仿宋" w:eastAsia="仿宋" w:cs="仿宋"/>
          <w:color w:val="auto"/>
          <w:sz w:val="30"/>
          <w:szCs w:val="30"/>
          <w:highlight w:val="none"/>
        </w:rPr>
        <w:t xml:space="preserve">评价综合得分为 </w:t>
      </w:r>
      <w:r>
        <w:rPr>
          <w:rFonts w:hint="eastAsia" w:ascii="仿宋" w:hAnsi="仿宋" w:eastAsia="仿宋" w:cs="仿宋"/>
          <w:color w:val="auto"/>
          <w:sz w:val="30"/>
          <w:szCs w:val="30"/>
          <w:highlight w:val="none"/>
          <w:lang w:val="en-US" w:eastAsia="zh-CN"/>
        </w:rPr>
        <w:t>96.9</w:t>
      </w:r>
      <w:r>
        <w:rPr>
          <w:rFonts w:hint="eastAsia" w:ascii="仿宋" w:hAnsi="仿宋" w:eastAsia="仿宋" w:cs="仿宋"/>
          <w:color w:val="auto"/>
          <w:sz w:val="30"/>
          <w:szCs w:val="30"/>
          <w:highlight w:val="none"/>
        </w:rPr>
        <w:t xml:space="preserve"> 分（具体如下表），评价等级为</w:t>
      </w:r>
      <w:r>
        <w:rPr>
          <w:rFonts w:hint="eastAsia" w:ascii="仿宋" w:hAnsi="仿宋" w:eastAsia="仿宋" w:cs="仿宋"/>
          <w:color w:val="auto"/>
          <w:sz w:val="30"/>
          <w:szCs w:val="30"/>
          <w:highlight w:val="none"/>
          <w:lang w:val="en-US" w:eastAsia="zh-CN"/>
        </w:rPr>
        <w:t>优</w:t>
      </w:r>
      <w:r>
        <w:rPr>
          <w:rFonts w:hint="eastAsia" w:ascii="仿宋" w:hAnsi="仿宋" w:eastAsia="仿宋" w:cs="仿宋"/>
          <w:color w:val="auto"/>
          <w:sz w:val="30"/>
          <w:szCs w:val="30"/>
          <w:highlight w:val="none"/>
        </w:rPr>
        <w:t>。</w:t>
      </w:r>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both"/>
        <w:textAlignment w:val="baseline"/>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lang w:val="en-US" w:eastAsia="zh-CN"/>
        </w:rPr>
        <w:t>麻阳苗族自治县2022农业保险资金绩效</w:t>
      </w:r>
      <w:r>
        <w:rPr>
          <w:rFonts w:hint="eastAsia" w:ascii="仿宋" w:hAnsi="仿宋" w:eastAsia="仿宋" w:cs="仿宋"/>
          <w:color w:val="auto"/>
          <w:sz w:val="30"/>
          <w:szCs w:val="30"/>
          <w:highlight w:val="none"/>
        </w:rPr>
        <w:t>评价评分表</w:t>
      </w:r>
    </w:p>
    <w:tbl>
      <w:tblPr>
        <w:tblStyle w:val="15"/>
        <w:tblW w:w="8676" w:type="dxa"/>
        <w:tblInd w:w="59"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3215"/>
        <w:gridCol w:w="2748"/>
        <w:gridCol w:w="2713"/>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3" w:hRule="atLeast"/>
        </w:trPr>
        <w:tc>
          <w:tcPr>
            <w:tcW w:w="3215" w:type="dxa"/>
            <w:vAlign w:val="top"/>
          </w:tcPr>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center"/>
              <w:textAlignment w:val="baseline"/>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评价指标</w:t>
            </w:r>
          </w:p>
        </w:tc>
        <w:tc>
          <w:tcPr>
            <w:tcW w:w="2748" w:type="dxa"/>
            <w:vAlign w:val="top"/>
          </w:tcPr>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center"/>
              <w:textAlignment w:val="baseline"/>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标准分值</w:t>
            </w:r>
          </w:p>
        </w:tc>
        <w:tc>
          <w:tcPr>
            <w:tcW w:w="2713" w:type="dxa"/>
            <w:vAlign w:val="top"/>
          </w:tcPr>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center"/>
              <w:textAlignment w:val="baseline"/>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评价得分</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8" w:hRule="atLeast"/>
        </w:trPr>
        <w:tc>
          <w:tcPr>
            <w:tcW w:w="3215" w:type="dxa"/>
            <w:vAlign w:val="top"/>
          </w:tcPr>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center"/>
              <w:textAlignment w:val="baseline"/>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投入</w:t>
            </w:r>
          </w:p>
        </w:tc>
        <w:tc>
          <w:tcPr>
            <w:tcW w:w="2748" w:type="dxa"/>
            <w:vAlign w:val="top"/>
          </w:tcPr>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center"/>
              <w:textAlignment w:val="baseline"/>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1</w:t>
            </w:r>
            <w:r>
              <w:rPr>
                <w:rFonts w:hint="eastAsia" w:ascii="仿宋" w:hAnsi="仿宋" w:eastAsia="仿宋" w:cs="仿宋"/>
                <w:color w:val="auto"/>
                <w:sz w:val="30"/>
                <w:szCs w:val="30"/>
                <w:highlight w:val="none"/>
                <w:lang w:val="en-US" w:eastAsia="zh-CN"/>
              </w:rPr>
              <w:t>5</w:t>
            </w:r>
            <w:r>
              <w:rPr>
                <w:rFonts w:hint="eastAsia" w:ascii="仿宋" w:hAnsi="仿宋" w:eastAsia="仿宋" w:cs="仿宋"/>
                <w:color w:val="auto"/>
                <w:sz w:val="30"/>
                <w:szCs w:val="30"/>
                <w:highlight w:val="none"/>
              </w:rPr>
              <w:t xml:space="preserve"> 分</w:t>
            </w:r>
          </w:p>
        </w:tc>
        <w:tc>
          <w:tcPr>
            <w:tcW w:w="2713" w:type="dxa"/>
            <w:vAlign w:val="top"/>
          </w:tcPr>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center"/>
              <w:textAlignment w:val="baseline"/>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lang w:val="en-US" w:eastAsia="zh-CN"/>
              </w:rPr>
              <w:t>15</w:t>
            </w:r>
            <w:r>
              <w:rPr>
                <w:rFonts w:hint="eastAsia" w:ascii="仿宋" w:hAnsi="仿宋" w:eastAsia="仿宋" w:cs="仿宋"/>
                <w:color w:val="auto"/>
                <w:sz w:val="30"/>
                <w:szCs w:val="30"/>
                <w:highlight w:val="none"/>
              </w:rPr>
              <w:t xml:space="preserve"> 分</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8" w:hRule="atLeast"/>
        </w:trPr>
        <w:tc>
          <w:tcPr>
            <w:tcW w:w="3215" w:type="dxa"/>
            <w:vAlign w:val="top"/>
          </w:tcPr>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center"/>
              <w:textAlignment w:val="baseline"/>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过程</w:t>
            </w:r>
          </w:p>
        </w:tc>
        <w:tc>
          <w:tcPr>
            <w:tcW w:w="2748" w:type="dxa"/>
            <w:vAlign w:val="top"/>
          </w:tcPr>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center"/>
              <w:textAlignment w:val="baseline"/>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2</w:t>
            </w:r>
            <w:r>
              <w:rPr>
                <w:rFonts w:hint="eastAsia" w:ascii="仿宋" w:hAnsi="仿宋" w:eastAsia="仿宋" w:cs="仿宋"/>
                <w:color w:val="auto"/>
                <w:sz w:val="30"/>
                <w:szCs w:val="30"/>
                <w:highlight w:val="none"/>
                <w:lang w:val="en-US" w:eastAsia="zh-CN"/>
              </w:rPr>
              <w:t>5</w:t>
            </w:r>
            <w:r>
              <w:rPr>
                <w:rFonts w:hint="eastAsia" w:ascii="仿宋" w:hAnsi="仿宋" w:eastAsia="仿宋" w:cs="仿宋"/>
                <w:color w:val="auto"/>
                <w:sz w:val="30"/>
                <w:szCs w:val="30"/>
                <w:highlight w:val="none"/>
              </w:rPr>
              <w:t xml:space="preserve"> 分</w:t>
            </w:r>
          </w:p>
        </w:tc>
        <w:tc>
          <w:tcPr>
            <w:tcW w:w="2713" w:type="dxa"/>
            <w:vAlign w:val="top"/>
          </w:tcPr>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center"/>
              <w:textAlignment w:val="baseline"/>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lang w:val="en-US" w:eastAsia="zh-CN"/>
              </w:rPr>
              <w:t>25</w:t>
            </w:r>
            <w:r>
              <w:rPr>
                <w:rFonts w:hint="eastAsia" w:ascii="仿宋" w:hAnsi="仿宋" w:eastAsia="仿宋" w:cs="仿宋"/>
                <w:color w:val="auto"/>
                <w:sz w:val="30"/>
                <w:szCs w:val="30"/>
                <w:highlight w:val="none"/>
              </w:rPr>
              <w:t xml:space="preserve"> 分</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8" w:hRule="atLeast"/>
        </w:trPr>
        <w:tc>
          <w:tcPr>
            <w:tcW w:w="3215" w:type="dxa"/>
            <w:vAlign w:val="top"/>
          </w:tcPr>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center"/>
              <w:textAlignment w:val="baseline"/>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产出</w:t>
            </w:r>
          </w:p>
        </w:tc>
        <w:tc>
          <w:tcPr>
            <w:tcW w:w="2748" w:type="dxa"/>
            <w:vAlign w:val="top"/>
          </w:tcPr>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center"/>
              <w:textAlignment w:val="baseline"/>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lang w:val="en-US" w:eastAsia="zh-CN"/>
              </w:rPr>
              <w:t>35</w:t>
            </w:r>
            <w:r>
              <w:rPr>
                <w:rFonts w:hint="eastAsia" w:ascii="仿宋" w:hAnsi="仿宋" w:eastAsia="仿宋" w:cs="仿宋"/>
                <w:color w:val="auto"/>
                <w:sz w:val="30"/>
                <w:szCs w:val="30"/>
                <w:highlight w:val="none"/>
              </w:rPr>
              <w:t xml:space="preserve"> 分</w:t>
            </w:r>
          </w:p>
        </w:tc>
        <w:tc>
          <w:tcPr>
            <w:tcW w:w="2713" w:type="dxa"/>
            <w:vAlign w:val="top"/>
          </w:tcPr>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center"/>
              <w:textAlignment w:val="baseline"/>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lang w:val="en-US" w:eastAsia="zh-CN"/>
              </w:rPr>
              <w:t xml:space="preserve">31.9 </w:t>
            </w:r>
            <w:r>
              <w:rPr>
                <w:rFonts w:hint="eastAsia" w:ascii="仿宋" w:hAnsi="仿宋" w:eastAsia="仿宋" w:cs="仿宋"/>
                <w:color w:val="auto"/>
                <w:sz w:val="30"/>
                <w:szCs w:val="30"/>
                <w:highlight w:val="none"/>
              </w:rPr>
              <w:t>分</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8" w:hRule="atLeast"/>
        </w:trPr>
        <w:tc>
          <w:tcPr>
            <w:tcW w:w="3215" w:type="dxa"/>
            <w:vAlign w:val="top"/>
          </w:tcPr>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center"/>
              <w:textAlignment w:val="baseline"/>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效果</w:t>
            </w:r>
          </w:p>
        </w:tc>
        <w:tc>
          <w:tcPr>
            <w:tcW w:w="2748" w:type="dxa"/>
            <w:vAlign w:val="top"/>
          </w:tcPr>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center"/>
              <w:textAlignment w:val="baseline"/>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lang w:val="en-US" w:eastAsia="zh-CN"/>
              </w:rPr>
              <w:t xml:space="preserve">25 </w:t>
            </w:r>
            <w:r>
              <w:rPr>
                <w:rFonts w:hint="eastAsia" w:ascii="仿宋" w:hAnsi="仿宋" w:eastAsia="仿宋" w:cs="仿宋"/>
                <w:color w:val="auto"/>
                <w:sz w:val="30"/>
                <w:szCs w:val="30"/>
                <w:highlight w:val="none"/>
              </w:rPr>
              <w:t>分</w:t>
            </w:r>
          </w:p>
        </w:tc>
        <w:tc>
          <w:tcPr>
            <w:tcW w:w="2713" w:type="dxa"/>
            <w:vAlign w:val="top"/>
          </w:tcPr>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center"/>
              <w:textAlignment w:val="baseline"/>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lang w:val="en-US" w:eastAsia="zh-CN"/>
              </w:rPr>
              <w:t>25</w:t>
            </w:r>
            <w:r>
              <w:rPr>
                <w:rFonts w:hint="eastAsia" w:ascii="仿宋" w:hAnsi="仿宋" w:eastAsia="仿宋" w:cs="仿宋"/>
                <w:color w:val="auto"/>
                <w:sz w:val="30"/>
                <w:szCs w:val="30"/>
                <w:highlight w:val="none"/>
              </w:rPr>
              <w:t xml:space="preserve"> 分</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3" w:hRule="atLeast"/>
        </w:trPr>
        <w:tc>
          <w:tcPr>
            <w:tcW w:w="3215" w:type="dxa"/>
            <w:vAlign w:val="top"/>
          </w:tcPr>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center"/>
              <w:textAlignment w:val="baseline"/>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综合绩效</w:t>
            </w:r>
          </w:p>
        </w:tc>
        <w:tc>
          <w:tcPr>
            <w:tcW w:w="2748" w:type="dxa"/>
            <w:vAlign w:val="top"/>
          </w:tcPr>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center"/>
              <w:textAlignment w:val="baseline"/>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100 分</w:t>
            </w:r>
          </w:p>
        </w:tc>
        <w:tc>
          <w:tcPr>
            <w:tcW w:w="2713" w:type="dxa"/>
            <w:vAlign w:val="top"/>
          </w:tcPr>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center"/>
              <w:textAlignment w:val="baseline"/>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lang w:val="en-US" w:eastAsia="zh-CN"/>
              </w:rPr>
              <w:t>96.9</w:t>
            </w:r>
            <w:r>
              <w:rPr>
                <w:rFonts w:hint="eastAsia" w:ascii="仿宋" w:hAnsi="仿宋" w:eastAsia="仿宋" w:cs="仿宋"/>
                <w:color w:val="auto"/>
                <w:sz w:val="30"/>
                <w:szCs w:val="30"/>
                <w:highlight w:val="none"/>
              </w:rPr>
              <w:t>分</w:t>
            </w:r>
          </w:p>
        </w:tc>
      </w:tr>
    </w:tbl>
    <w:p>
      <w:pPr>
        <w:pStyle w:val="2"/>
        <w:keepNext w:val="0"/>
        <w:keepLines w:val="0"/>
        <w:pageBreakBefore w:val="0"/>
        <w:widowControl w:val="0"/>
        <w:kinsoku/>
        <w:wordWrap/>
        <w:overflowPunct/>
        <w:topLinePunct w:val="0"/>
        <w:autoSpaceDE/>
        <w:autoSpaceDN/>
        <w:bidi w:val="0"/>
        <w:adjustRightInd/>
        <w:snapToGrid/>
        <w:spacing w:before="0" w:beforeLines="0" w:beforeAutospacing="0" w:after="0" w:afterLines="0" w:afterAutospacing="0" w:line="360" w:lineRule="auto"/>
        <w:ind w:left="0" w:firstLine="643" w:firstLineChars="200"/>
        <w:jc w:val="both"/>
        <w:textAlignment w:val="auto"/>
        <w:rPr>
          <w:rFonts w:hint="eastAsia" w:ascii="Calibri" w:hAnsi="Calibri" w:eastAsia="黑体" w:cs="Times New Roman"/>
          <w:bCs/>
          <w:snapToGrid/>
          <w:sz w:val="32"/>
          <w:szCs w:val="44"/>
          <w:lang w:val="en-US" w:eastAsia="zh-CN" w:bidi="ar-SA"/>
        </w:rPr>
      </w:pPr>
      <w:bookmarkStart w:id="21" w:name="_Toc9398"/>
      <w:r>
        <w:rPr>
          <w:rFonts w:hint="eastAsia" w:ascii="Calibri" w:hAnsi="Calibri" w:eastAsia="黑体" w:cs="Times New Roman"/>
          <w:bCs/>
          <w:snapToGrid/>
          <w:sz w:val="32"/>
          <w:szCs w:val="44"/>
          <w:lang w:val="en-US" w:eastAsia="zh-CN" w:bidi="ar-SA"/>
        </w:rPr>
        <w:t>五、存在的问题和建议</w:t>
      </w:r>
      <w:bookmarkEnd w:id="21"/>
    </w:p>
    <w:p>
      <w:pPr>
        <w:pStyle w:val="3"/>
        <w:keepNext w:val="0"/>
        <w:keepLines w:val="0"/>
        <w:pageBreakBefore w:val="0"/>
        <w:widowControl w:val="0"/>
        <w:kinsoku/>
        <w:wordWrap/>
        <w:overflowPunct/>
        <w:topLinePunct w:val="0"/>
        <w:autoSpaceDE/>
        <w:autoSpaceDN/>
        <w:bidi w:val="0"/>
        <w:adjustRightInd/>
        <w:snapToGrid/>
        <w:spacing w:before="0" w:beforeAutospacing="0" w:after="0" w:afterAutospacing="0" w:line="360" w:lineRule="auto"/>
        <w:ind w:left="0" w:firstLine="643" w:firstLineChars="200"/>
        <w:jc w:val="both"/>
        <w:textAlignment w:val="auto"/>
        <w:outlineLvl w:val="1"/>
        <w:rPr>
          <w:rFonts w:hint="eastAsia" w:ascii="Cambria" w:hAnsi="Cambria" w:eastAsia="楷体_GB2312" w:cs="Times New Roman"/>
          <w:bCs/>
          <w:snapToGrid/>
          <w:kern w:val="2"/>
          <w:sz w:val="32"/>
          <w:szCs w:val="32"/>
          <w:lang w:val="en-US" w:eastAsia="zh-CN" w:bidi="ar-SA"/>
        </w:rPr>
      </w:pPr>
      <w:bookmarkStart w:id="22" w:name="_Toc18957"/>
      <w:r>
        <w:rPr>
          <w:rFonts w:hint="eastAsia" w:ascii="Cambria" w:hAnsi="Cambria" w:eastAsia="楷体_GB2312" w:cs="Times New Roman"/>
          <w:bCs/>
          <w:snapToGrid/>
          <w:kern w:val="2"/>
          <w:sz w:val="32"/>
          <w:szCs w:val="32"/>
          <w:lang w:val="en-US" w:eastAsia="zh-CN" w:bidi="ar-SA"/>
        </w:rPr>
        <w:t>（一） 存在的问题</w:t>
      </w:r>
      <w:bookmarkEnd w:id="22"/>
    </w:p>
    <w:p>
      <w:pPr>
        <w:keepNext w:val="0"/>
        <w:keepLines w:val="0"/>
        <w:pageBreakBefore w:val="0"/>
        <w:widowControl w:val="0"/>
        <w:kinsoku w:val="0"/>
        <w:wordWrap/>
        <w:overflowPunct/>
        <w:topLinePunct w:val="0"/>
        <w:autoSpaceDE w:val="0"/>
        <w:autoSpaceDN w:val="0"/>
        <w:bidi w:val="0"/>
        <w:adjustRightInd w:val="0"/>
        <w:snapToGrid w:val="0"/>
        <w:spacing w:afterAutospacing="0" w:line="540" w:lineRule="exact"/>
        <w:ind w:left="0" w:firstLine="561"/>
        <w:jc w:val="both"/>
        <w:textAlignment w:val="baseline"/>
        <w:rPr>
          <w:rFonts w:hint="eastAsia"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育肥猪保险覆盖率、能繁母猪保险覆盖率、理赔的户数/投保户数未达预期</w:t>
      </w:r>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both"/>
        <w:textAlignment w:val="baseline"/>
        <w:rPr>
          <w:rFonts w:hint="default"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育肥猪保险覆盖率绩效指标为35%，育肥猪保险实际覆盖率17.47%；能繁母猪保险覆盖率绩效指标39%，能繁母猪保险实际覆盖率15.58%；理赔的户数/投保户数的绩效指标为50%，实际比例为0.81%。</w:t>
      </w:r>
    </w:p>
    <w:p>
      <w:pPr>
        <w:pStyle w:val="3"/>
        <w:keepNext/>
        <w:keepLines/>
        <w:pageBreakBefore w:val="0"/>
        <w:widowControl w:val="0"/>
        <w:numPr>
          <w:ilvl w:val="0"/>
          <w:numId w:val="2"/>
        </w:numPr>
        <w:kinsoku/>
        <w:wordWrap/>
        <w:overflowPunct/>
        <w:topLinePunct w:val="0"/>
        <w:autoSpaceDE/>
        <w:autoSpaceDN/>
        <w:bidi w:val="0"/>
        <w:adjustRightInd/>
        <w:snapToGrid/>
        <w:spacing w:before="0" w:beforeAutospacing="0" w:after="0" w:afterAutospacing="0" w:line="360" w:lineRule="auto"/>
        <w:ind w:firstLine="643" w:firstLineChars="200"/>
        <w:jc w:val="both"/>
        <w:textAlignment w:val="auto"/>
        <w:outlineLvl w:val="1"/>
        <w:rPr>
          <w:rFonts w:hint="eastAsia" w:ascii="Cambria" w:hAnsi="Cambria" w:eastAsia="楷体_GB2312" w:cs="Times New Roman"/>
          <w:bCs/>
          <w:snapToGrid/>
          <w:kern w:val="2"/>
          <w:sz w:val="32"/>
          <w:szCs w:val="32"/>
          <w:lang w:val="en-US" w:eastAsia="zh-CN" w:bidi="ar-SA"/>
        </w:rPr>
      </w:pPr>
      <w:bookmarkStart w:id="23" w:name="_Toc28528"/>
      <w:r>
        <w:rPr>
          <w:rFonts w:hint="eastAsia" w:ascii="Cambria" w:hAnsi="Cambria" w:eastAsia="楷体_GB2312" w:cs="Times New Roman"/>
          <w:bCs/>
          <w:snapToGrid/>
          <w:kern w:val="2"/>
          <w:sz w:val="32"/>
          <w:szCs w:val="32"/>
          <w:lang w:val="en-US" w:eastAsia="zh-CN" w:bidi="ar-SA"/>
        </w:rPr>
        <w:t>改进建议</w:t>
      </w:r>
      <w:bookmarkEnd w:id="23"/>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both"/>
        <w:textAlignment w:val="baseline"/>
        <w:rPr>
          <w:rFonts w:hint="eastAsia"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养殖户的保险成本较高，投保积极性不高，尽可能降低保险费率；提高理赔的便利性，做到一出险情及时理赔。</w:t>
      </w:r>
    </w:p>
    <w:p>
      <w:pPr>
        <w:pStyle w:val="2"/>
        <w:widowControl w:val="0"/>
        <w:kinsoku/>
        <w:autoSpaceDE/>
        <w:autoSpaceDN/>
        <w:bidi w:val="0"/>
        <w:adjustRightInd/>
        <w:snapToGrid/>
        <w:spacing w:before="0" w:beforeLines="-2147483648" w:beforeAutospacing="0" w:after="0" w:afterLines="-2147483648" w:afterAutospacing="0" w:line="360" w:lineRule="auto"/>
        <w:ind w:firstLine="643" w:firstLineChars="200"/>
        <w:jc w:val="both"/>
        <w:textAlignment w:val="auto"/>
        <w:rPr>
          <w:rFonts w:hint="default" w:ascii="Calibri" w:hAnsi="Calibri" w:eastAsia="黑体" w:cs="Times New Roman"/>
          <w:bCs/>
          <w:snapToGrid/>
          <w:sz w:val="32"/>
          <w:szCs w:val="44"/>
          <w:lang w:val="en-US" w:eastAsia="zh-CN" w:bidi="ar-SA"/>
        </w:rPr>
      </w:pPr>
      <w:bookmarkStart w:id="24" w:name="_Toc19649"/>
      <w:r>
        <w:rPr>
          <w:rFonts w:hint="eastAsia" w:ascii="Calibri" w:hAnsi="Calibri" w:eastAsia="黑体" w:cs="Times New Roman"/>
          <w:bCs/>
          <w:snapToGrid/>
          <w:sz w:val="32"/>
          <w:szCs w:val="44"/>
          <w:lang w:val="en-US" w:eastAsia="zh-CN" w:bidi="ar-SA"/>
        </w:rPr>
        <w:t>六、</w:t>
      </w:r>
      <w:bookmarkStart w:id="25" w:name="_Toc16918"/>
      <w:r>
        <w:rPr>
          <w:rFonts w:hint="eastAsia" w:ascii="Calibri" w:hAnsi="Calibri" w:eastAsia="黑体" w:cs="Times New Roman"/>
          <w:bCs/>
          <w:snapToGrid/>
          <w:sz w:val="32"/>
          <w:szCs w:val="44"/>
          <w:lang w:val="en-US" w:eastAsia="zh-CN" w:bidi="ar-SA"/>
        </w:rPr>
        <w:t>其他需说明的情况</w:t>
      </w:r>
      <w:bookmarkEnd w:id="24"/>
      <w:bookmarkEnd w:id="25"/>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both"/>
        <w:textAlignment w:val="baseline"/>
        <w:rPr>
          <w:rFonts w:hint="eastAsia"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1、本次评价是依据财政部及省、市有关部门的文件规定和要求进行的，选择的绩效评价程序取决于评估人员的判断，绩效评价的可靠性基于相关部门和单位提供资料的全面性和准确性，评价小组尽可能地收集更为全面、有效、准确的文件和数据，但由于受客观因素的限制，只能在相关部门和单位提供的现有资料的前提下，结合应有的职业判断做出尽可能可靠的评价结论。</w:t>
      </w:r>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both"/>
        <w:textAlignment w:val="baseline"/>
        <w:rPr>
          <w:rFonts w:hint="default"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2、本公司及本次评价人员与委托评价单位和项目实施单位之间不存在任何特殊的、需要回避的利害关系，评价人员在评价过程中恪守了职业道德规范。</w:t>
      </w:r>
    </w:p>
    <w:p>
      <w:pPr>
        <w:pStyle w:val="2"/>
        <w:widowControl w:val="0"/>
        <w:kinsoku/>
        <w:autoSpaceDE/>
        <w:autoSpaceDN/>
        <w:bidi w:val="0"/>
        <w:adjustRightInd/>
        <w:snapToGrid/>
        <w:spacing w:before="0" w:beforeLines="-2147483648" w:beforeAutospacing="0" w:after="0" w:afterLines="-2147483648" w:afterAutospacing="0" w:line="360" w:lineRule="auto"/>
        <w:ind w:firstLine="643" w:firstLineChars="200"/>
        <w:jc w:val="both"/>
        <w:textAlignment w:val="auto"/>
        <w:rPr>
          <w:rFonts w:hint="eastAsia" w:ascii="Calibri" w:hAnsi="Calibri" w:eastAsia="黑体" w:cs="Times New Roman"/>
          <w:bCs/>
          <w:snapToGrid/>
          <w:sz w:val="32"/>
          <w:szCs w:val="44"/>
          <w:lang w:val="en-US" w:eastAsia="zh-CN" w:bidi="ar-SA"/>
        </w:rPr>
      </w:pPr>
      <w:bookmarkStart w:id="26" w:name="_Toc25427"/>
      <w:r>
        <w:rPr>
          <w:rFonts w:hint="eastAsia" w:ascii="Calibri" w:hAnsi="Calibri" w:eastAsia="黑体" w:cs="Times New Roman"/>
          <w:bCs/>
          <w:snapToGrid/>
          <w:sz w:val="32"/>
          <w:szCs w:val="44"/>
          <w:lang w:val="en-US" w:eastAsia="zh-CN" w:bidi="ar-SA"/>
        </w:rPr>
        <w:t>七、附件</w:t>
      </w:r>
      <w:bookmarkEnd w:id="26"/>
    </w:p>
    <w:p>
      <w:pPr>
        <w:keepNext w:val="0"/>
        <w:keepLines w:val="0"/>
        <w:pageBreakBefore w:val="0"/>
        <w:widowControl/>
        <w:kinsoku w:val="0"/>
        <w:wordWrap/>
        <w:overflowPunct/>
        <w:topLinePunct w:val="0"/>
        <w:autoSpaceDE w:val="0"/>
        <w:autoSpaceDN w:val="0"/>
        <w:bidi w:val="0"/>
        <w:adjustRightInd w:val="0"/>
        <w:snapToGrid w:val="0"/>
        <w:spacing w:before="0" w:after="0" w:line="500" w:lineRule="exact"/>
        <w:ind w:left="22" w:firstLine="560"/>
        <w:jc w:val="both"/>
        <w:textAlignment w:val="baseline"/>
        <w:rPr>
          <w:rFonts w:hint="default"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麻阳苗族自治县郭公坪镇等4个乡镇长寿谷村等38个村高标准农田建设项目（二0二二年）绩效评价指标评分表</w:t>
      </w:r>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jc w:val="both"/>
        <w:textAlignment w:val="baseline"/>
        <w:rPr>
          <w:rFonts w:hint="eastAsia"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 xml:space="preserve"> </w:t>
      </w:r>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firstLine="3900" w:firstLineChars="1300"/>
        <w:jc w:val="both"/>
        <w:textAlignment w:val="baseline"/>
        <w:rPr>
          <w:rFonts w:hint="eastAsia"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 xml:space="preserve">   湖南泰信会计师事务所有限公司</w:t>
      </w:r>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both"/>
        <w:textAlignment w:val="baseline"/>
        <w:rPr>
          <w:rFonts w:hint="eastAsia"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 xml:space="preserve">                               2023年10月29日</w:t>
      </w:r>
      <w:bookmarkStart w:id="27" w:name="_bookmark16"/>
      <w:bookmarkEnd w:id="27"/>
      <w:bookmarkStart w:id="28" w:name="_bookmark22"/>
      <w:bookmarkEnd w:id="28"/>
      <w:bookmarkStart w:id="29" w:name="_bookmark15"/>
      <w:bookmarkEnd w:id="29"/>
      <w:bookmarkStart w:id="30" w:name="_bookmark17"/>
      <w:bookmarkEnd w:id="30"/>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both"/>
        <w:textAlignment w:val="baseline"/>
        <w:rPr>
          <w:rFonts w:hint="eastAsia" w:ascii="仿宋" w:hAnsi="仿宋" w:eastAsia="仿宋" w:cs="仿宋"/>
          <w:color w:val="auto"/>
          <w:sz w:val="30"/>
          <w:szCs w:val="30"/>
          <w:highlight w:val="none"/>
          <w:lang w:val="en-US" w:eastAsia="zh-CN"/>
        </w:rPr>
      </w:pPr>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both"/>
        <w:textAlignment w:val="baseline"/>
        <w:rPr>
          <w:rFonts w:hint="eastAsia" w:ascii="仿宋" w:hAnsi="仿宋" w:eastAsia="仿宋" w:cs="仿宋"/>
          <w:color w:val="auto"/>
          <w:sz w:val="30"/>
          <w:szCs w:val="30"/>
          <w:highlight w:val="none"/>
          <w:lang w:val="en-US" w:eastAsia="zh-CN"/>
        </w:rPr>
      </w:pPr>
    </w:p>
    <w:p>
      <w:pPr>
        <w:keepNext w:val="0"/>
        <w:keepLines w:val="0"/>
        <w:pageBreakBefore w:val="0"/>
        <w:widowControl/>
        <w:kinsoku w:val="0"/>
        <w:wordWrap/>
        <w:overflowPunct/>
        <w:topLinePunct w:val="0"/>
        <w:autoSpaceDE w:val="0"/>
        <w:autoSpaceDN w:val="0"/>
        <w:bidi w:val="0"/>
        <w:adjustRightInd w:val="0"/>
        <w:snapToGrid w:val="0"/>
        <w:spacing w:before="0" w:after="0" w:line="510" w:lineRule="exact"/>
        <w:ind w:left="0" w:firstLine="0"/>
        <w:jc w:val="both"/>
        <w:textAlignment w:val="baseline"/>
        <w:rPr>
          <w:rFonts w:hint="eastAsia" w:ascii="仿宋" w:hAnsi="仿宋" w:eastAsia="仿宋" w:cs="仿宋"/>
          <w:color w:val="auto"/>
          <w:sz w:val="30"/>
          <w:szCs w:val="30"/>
          <w:highlight w:val="none"/>
          <w:lang w:val="en-US" w:eastAsia="zh-CN"/>
        </w:rPr>
        <w:sectPr>
          <w:footerReference r:id="rId10" w:type="default"/>
          <w:pgSz w:w="11906" w:h="16838"/>
          <w:pgMar w:top="1003" w:right="1417" w:bottom="1003" w:left="1701" w:header="851" w:footer="992" w:gutter="0"/>
          <w:pgBorders>
            <w:top w:val="none" w:sz="0" w:space="0"/>
            <w:left w:val="none" w:sz="0" w:space="0"/>
            <w:bottom w:val="none" w:sz="0" w:space="0"/>
            <w:right w:val="none" w:sz="0" w:space="0"/>
          </w:pgBorders>
          <w:pgNumType w:start="1"/>
          <w:cols w:space="0" w:num="1"/>
          <w:rtlGutter w:val="0"/>
          <w:docGrid w:type="lines" w:linePitch="312" w:charSpace="0"/>
        </w:sectPr>
      </w:pPr>
    </w:p>
    <w:tbl>
      <w:tblPr>
        <w:tblStyle w:val="13"/>
        <w:tblW w:w="13578"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053"/>
        <w:gridCol w:w="1485"/>
        <w:gridCol w:w="1515"/>
        <w:gridCol w:w="675"/>
        <w:gridCol w:w="3285"/>
        <w:gridCol w:w="4845"/>
        <w:gridCol w:w="72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80" w:hRule="atLeast"/>
        </w:trPr>
        <w:tc>
          <w:tcPr>
            <w:tcW w:w="13578" w:type="dxa"/>
            <w:gridSpan w:val="7"/>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36"/>
                <w:szCs w:val="36"/>
                <w:u w:val="none"/>
              </w:rPr>
            </w:pPr>
            <w:r>
              <w:rPr>
                <w:rFonts w:hint="eastAsia" w:ascii="宋体" w:hAnsi="宋体" w:eastAsia="宋体" w:cs="宋体"/>
                <w:b/>
                <w:bCs/>
                <w:i w:val="0"/>
                <w:iCs w:val="0"/>
                <w:snapToGrid w:val="0"/>
                <w:color w:val="000000"/>
                <w:kern w:val="0"/>
                <w:sz w:val="36"/>
                <w:szCs w:val="36"/>
                <w:u w:val="none"/>
                <w:lang w:val="en-US" w:eastAsia="zh-CN" w:bidi="ar"/>
              </w:rPr>
              <w:t>麻阳苗族自治县2022年农业保险资金绩效评价指标评分表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95" w:hRule="atLeast"/>
        </w:trPr>
        <w:tc>
          <w:tcPr>
            <w:tcW w:w="10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Style w:val="17"/>
                <w:snapToGrid w:val="0"/>
                <w:color w:val="000000"/>
                <w:lang w:val="en-US" w:eastAsia="zh-CN" w:bidi="ar"/>
              </w:rPr>
              <w:t>一级指标</w:t>
            </w:r>
          </w:p>
        </w:tc>
        <w:tc>
          <w:tcPr>
            <w:tcW w:w="14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Style w:val="17"/>
                <w:snapToGrid w:val="0"/>
                <w:color w:val="000000"/>
                <w:lang w:val="en-US" w:eastAsia="zh-CN" w:bidi="ar"/>
              </w:rPr>
              <w:t>二级指标</w:t>
            </w:r>
          </w:p>
        </w:tc>
        <w:tc>
          <w:tcPr>
            <w:tcW w:w="15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Style w:val="17"/>
                <w:snapToGrid w:val="0"/>
                <w:color w:val="000000"/>
                <w:lang w:val="en-US" w:eastAsia="zh-CN" w:bidi="ar"/>
              </w:rPr>
              <w:t>三级指标</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snapToGrid w:val="0"/>
                <w:color w:val="000000"/>
                <w:kern w:val="0"/>
                <w:sz w:val="20"/>
                <w:szCs w:val="20"/>
                <w:u w:val="none"/>
                <w:lang w:val="en-US" w:eastAsia="zh-CN" w:bidi="ar"/>
              </w:rPr>
              <w:t>分值</w:t>
            </w: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Style w:val="17"/>
                <w:snapToGrid w:val="0"/>
                <w:color w:val="000000"/>
                <w:lang w:val="en-US" w:eastAsia="zh-CN" w:bidi="ar"/>
              </w:rPr>
              <w:t>指标解释</w:t>
            </w:r>
          </w:p>
        </w:tc>
        <w:tc>
          <w:tcPr>
            <w:tcW w:w="48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Style w:val="17"/>
                <w:snapToGrid w:val="0"/>
                <w:color w:val="000000"/>
                <w:lang w:val="en-US" w:eastAsia="zh-CN" w:bidi="ar"/>
              </w:rPr>
              <w:t>评分标准</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snapToGrid w:val="0"/>
                <w:color w:val="000000"/>
                <w:kern w:val="0"/>
                <w:sz w:val="20"/>
                <w:szCs w:val="20"/>
                <w:u w:val="none"/>
                <w:lang w:val="en-US" w:eastAsia="zh-CN" w:bidi="ar"/>
              </w:rPr>
              <w:t>评价 得分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780" w:hRule="atLeast"/>
        </w:trPr>
        <w:tc>
          <w:tcPr>
            <w:tcW w:w="105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决策   （15分）　</w:t>
            </w:r>
          </w:p>
        </w:tc>
        <w:tc>
          <w:tcPr>
            <w:tcW w:w="148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项目立项（4分）　</w:t>
            </w:r>
          </w:p>
        </w:tc>
        <w:tc>
          <w:tcPr>
            <w:tcW w:w="15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立项依据充分性</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snapToGrid w:val="0"/>
                <w:color w:val="000000"/>
                <w:kern w:val="0"/>
                <w:sz w:val="20"/>
                <w:szCs w:val="20"/>
                <w:u w:val="none"/>
                <w:lang w:val="en-US" w:eastAsia="zh-CN" w:bidi="ar"/>
              </w:rPr>
              <w:t>2</w:t>
            </w: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项目立项是否符合法律法规、相关政策、发展规划以及部门职责，用以反映和考核项目立项依据情况。</w:t>
            </w:r>
          </w:p>
        </w:tc>
        <w:tc>
          <w:tcPr>
            <w:tcW w:w="48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①项目立项符合国家法律法规、国民经济发展规划和相关政策、行业发展规划和政策要求，计0.5分；</w:t>
            </w:r>
            <w:r>
              <w:rPr>
                <w:rFonts w:hint="eastAsia" w:ascii="宋体" w:hAnsi="宋体" w:eastAsia="宋体" w:cs="宋体"/>
                <w:i w:val="0"/>
                <w:iCs w:val="0"/>
                <w:snapToGrid w:val="0"/>
                <w:color w:val="000000"/>
                <w:kern w:val="0"/>
                <w:sz w:val="20"/>
                <w:szCs w:val="20"/>
                <w:u w:val="none"/>
                <w:lang w:val="en-US" w:eastAsia="zh-CN" w:bidi="ar"/>
              </w:rPr>
              <w:br w:type="textWrapping"/>
            </w:r>
            <w:r>
              <w:rPr>
                <w:rFonts w:hint="eastAsia" w:ascii="宋体" w:hAnsi="宋体" w:eastAsia="宋体" w:cs="宋体"/>
                <w:i w:val="0"/>
                <w:iCs w:val="0"/>
                <w:snapToGrid w:val="0"/>
                <w:color w:val="000000"/>
                <w:kern w:val="0"/>
                <w:sz w:val="20"/>
                <w:szCs w:val="20"/>
                <w:u w:val="none"/>
                <w:lang w:val="en-US" w:eastAsia="zh-CN" w:bidi="ar"/>
              </w:rPr>
              <w:t>②项目立项与部门职责范围相符，属于部门履职所需，计0.5分；</w:t>
            </w:r>
            <w:r>
              <w:rPr>
                <w:rFonts w:hint="eastAsia" w:ascii="宋体" w:hAnsi="宋体" w:eastAsia="宋体" w:cs="宋体"/>
                <w:i w:val="0"/>
                <w:iCs w:val="0"/>
                <w:snapToGrid w:val="0"/>
                <w:color w:val="000000"/>
                <w:kern w:val="0"/>
                <w:sz w:val="20"/>
                <w:szCs w:val="20"/>
                <w:u w:val="none"/>
                <w:lang w:val="en-US" w:eastAsia="zh-CN" w:bidi="ar"/>
              </w:rPr>
              <w:br w:type="textWrapping"/>
            </w:r>
            <w:r>
              <w:rPr>
                <w:rFonts w:hint="eastAsia" w:ascii="宋体" w:hAnsi="宋体" w:eastAsia="宋体" w:cs="宋体"/>
                <w:i w:val="0"/>
                <w:iCs w:val="0"/>
                <w:snapToGrid w:val="0"/>
                <w:color w:val="000000"/>
                <w:kern w:val="0"/>
                <w:sz w:val="20"/>
                <w:szCs w:val="20"/>
                <w:u w:val="none"/>
                <w:lang w:val="en-US" w:eastAsia="zh-CN" w:bidi="ar"/>
              </w:rPr>
              <w:t>③项目属于公共财政支持范围，符合中央、地方事权支出责任划分原则，计0.5分；</w:t>
            </w:r>
            <w:r>
              <w:rPr>
                <w:rFonts w:hint="eastAsia" w:ascii="宋体" w:hAnsi="宋体" w:eastAsia="宋体" w:cs="宋体"/>
                <w:i w:val="0"/>
                <w:iCs w:val="0"/>
                <w:snapToGrid w:val="0"/>
                <w:color w:val="000000"/>
                <w:kern w:val="0"/>
                <w:sz w:val="20"/>
                <w:szCs w:val="20"/>
                <w:u w:val="none"/>
                <w:lang w:val="en-US" w:eastAsia="zh-CN" w:bidi="ar"/>
              </w:rPr>
              <w:br w:type="textWrapping"/>
            </w:r>
            <w:r>
              <w:rPr>
                <w:rFonts w:hint="eastAsia" w:ascii="宋体" w:hAnsi="宋体" w:eastAsia="宋体" w:cs="宋体"/>
                <w:i w:val="0"/>
                <w:iCs w:val="0"/>
                <w:snapToGrid w:val="0"/>
                <w:color w:val="000000"/>
                <w:kern w:val="0"/>
                <w:sz w:val="20"/>
                <w:szCs w:val="20"/>
                <w:u w:val="none"/>
                <w:lang w:val="en-US" w:eastAsia="zh-CN" w:bidi="ar"/>
              </w:rPr>
              <w:t>④项目未与相关部门同类项目或部门内部相关项目重复，计0.5分。</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snapToGrid w:val="0"/>
                <w:color w:val="000000"/>
                <w:kern w:val="0"/>
                <w:sz w:val="20"/>
                <w:szCs w:val="20"/>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320" w:hRule="atLeast"/>
        </w:trPr>
        <w:tc>
          <w:tcPr>
            <w:tcW w:w="105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48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5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立项程序规范性</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snapToGrid w:val="0"/>
                <w:color w:val="000000"/>
                <w:kern w:val="0"/>
                <w:sz w:val="20"/>
                <w:szCs w:val="20"/>
                <w:u w:val="none"/>
                <w:lang w:val="en-US" w:eastAsia="zh-CN" w:bidi="ar"/>
              </w:rPr>
              <w:t>2</w:t>
            </w: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项目申请、设立过程是否符合相关要求，用以反映和考核项目立项的规范情况。</w:t>
            </w:r>
          </w:p>
        </w:tc>
        <w:tc>
          <w:tcPr>
            <w:tcW w:w="48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①项目按照规定的程序申请设立，计0.5分；</w:t>
            </w:r>
            <w:r>
              <w:rPr>
                <w:rFonts w:hint="eastAsia" w:ascii="宋体" w:hAnsi="宋体" w:eastAsia="宋体" w:cs="宋体"/>
                <w:i w:val="0"/>
                <w:iCs w:val="0"/>
                <w:snapToGrid w:val="0"/>
                <w:color w:val="000000"/>
                <w:kern w:val="0"/>
                <w:sz w:val="20"/>
                <w:szCs w:val="20"/>
                <w:u w:val="none"/>
                <w:lang w:val="en-US" w:eastAsia="zh-CN" w:bidi="ar"/>
              </w:rPr>
              <w:br w:type="textWrapping"/>
            </w:r>
            <w:r>
              <w:rPr>
                <w:rFonts w:hint="eastAsia" w:ascii="宋体" w:hAnsi="宋体" w:eastAsia="宋体" w:cs="宋体"/>
                <w:i w:val="0"/>
                <w:iCs w:val="0"/>
                <w:snapToGrid w:val="0"/>
                <w:color w:val="000000"/>
                <w:kern w:val="0"/>
                <w:sz w:val="20"/>
                <w:szCs w:val="20"/>
                <w:u w:val="none"/>
                <w:lang w:val="en-US" w:eastAsia="zh-CN" w:bidi="ar"/>
              </w:rPr>
              <w:t>②审批文件、材料符合相关要求，计0.5分；</w:t>
            </w:r>
            <w:r>
              <w:rPr>
                <w:rFonts w:hint="eastAsia" w:ascii="宋体" w:hAnsi="宋体" w:eastAsia="宋体" w:cs="宋体"/>
                <w:i w:val="0"/>
                <w:iCs w:val="0"/>
                <w:snapToGrid w:val="0"/>
                <w:color w:val="000000"/>
                <w:kern w:val="0"/>
                <w:sz w:val="20"/>
                <w:szCs w:val="20"/>
                <w:u w:val="none"/>
                <w:lang w:val="en-US" w:eastAsia="zh-CN" w:bidi="ar"/>
              </w:rPr>
              <w:br w:type="textWrapping"/>
            </w:r>
            <w:r>
              <w:rPr>
                <w:rFonts w:hint="eastAsia" w:ascii="宋体" w:hAnsi="宋体" w:eastAsia="宋体" w:cs="宋体"/>
                <w:i w:val="0"/>
                <w:iCs w:val="0"/>
                <w:snapToGrid w:val="0"/>
                <w:color w:val="000000"/>
                <w:kern w:val="0"/>
                <w:sz w:val="20"/>
                <w:szCs w:val="20"/>
                <w:u w:val="none"/>
                <w:lang w:val="en-US" w:eastAsia="zh-CN" w:bidi="ar"/>
              </w:rPr>
              <w:t>③事前已经过必要的可行性研究、专家论证、风险评估、绩效评估、集体决策，计1分。1例不符扣0.2分。</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snapToGrid w:val="0"/>
                <w:color w:val="000000"/>
                <w:kern w:val="0"/>
                <w:sz w:val="20"/>
                <w:szCs w:val="20"/>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00" w:hRule="atLeast"/>
        </w:trPr>
        <w:tc>
          <w:tcPr>
            <w:tcW w:w="105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48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绩效目标（6分）　</w:t>
            </w:r>
          </w:p>
        </w:tc>
        <w:tc>
          <w:tcPr>
            <w:tcW w:w="15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绩效目标合理性</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snapToGrid w:val="0"/>
                <w:color w:val="000000"/>
                <w:kern w:val="0"/>
                <w:sz w:val="20"/>
                <w:szCs w:val="20"/>
                <w:u w:val="none"/>
                <w:lang w:val="en-US" w:eastAsia="zh-CN" w:bidi="ar"/>
              </w:rPr>
              <w:t>3</w:t>
            </w: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项目所设定的绩效目标是否依据充分，是否符合客观实际，用以反映和考核项目绩效目标与项目实施的相符情况。</w:t>
            </w:r>
          </w:p>
        </w:tc>
        <w:tc>
          <w:tcPr>
            <w:tcW w:w="48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①专项资金设定了绩效目标，计1分，否则不得分；</w:t>
            </w:r>
            <w:r>
              <w:rPr>
                <w:rFonts w:hint="eastAsia" w:ascii="宋体" w:hAnsi="宋体" w:eastAsia="宋体" w:cs="宋体"/>
                <w:i w:val="0"/>
                <w:iCs w:val="0"/>
                <w:snapToGrid w:val="0"/>
                <w:color w:val="000000"/>
                <w:kern w:val="0"/>
                <w:sz w:val="20"/>
                <w:szCs w:val="20"/>
                <w:u w:val="none"/>
                <w:lang w:val="en-US" w:eastAsia="zh-CN" w:bidi="ar"/>
              </w:rPr>
              <w:br w:type="textWrapping"/>
            </w:r>
            <w:r>
              <w:rPr>
                <w:rFonts w:hint="eastAsia" w:ascii="宋体" w:hAnsi="宋体" w:eastAsia="宋体" w:cs="宋体"/>
                <w:i w:val="0"/>
                <w:iCs w:val="0"/>
                <w:snapToGrid w:val="0"/>
                <w:color w:val="000000"/>
                <w:kern w:val="0"/>
                <w:sz w:val="20"/>
                <w:szCs w:val="20"/>
                <w:u w:val="none"/>
                <w:lang w:val="en-US" w:eastAsia="zh-CN" w:bidi="ar"/>
              </w:rPr>
              <w:t>②与预算确定的项目投资额或资金量相匹配，计1分，否则不得分；</w:t>
            </w:r>
            <w:r>
              <w:rPr>
                <w:rFonts w:hint="eastAsia" w:ascii="宋体" w:hAnsi="宋体" w:eastAsia="宋体" w:cs="宋体"/>
                <w:i w:val="0"/>
                <w:iCs w:val="0"/>
                <w:snapToGrid w:val="0"/>
                <w:color w:val="000000"/>
                <w:kern w:val="0"/>
                <w:sz w:val="20"/>
                <w:szCs w:val="20"/>
                <w:u w:val="none"/>
                <w:lang w:val="en-US" w:eastAsia="zh-CN" w:bidi="ar"/>
              </w:rPr>
              <w:br w:type="textWrapping"/>
            </w:r>
            <w:r>
              <w:rPr>
                <w:rFonts w:hint="eastAsia" w:ascii="宋体" w:hAnsi="宋体" w:eastAsia="宋体" w:cs="宋体"/>
                <w:i w:val="0"/>
                <w:iCs w:val="0"/>
                <w:snapToGrid w:val="0"/>
                <w:color w:val="000000"/>
                <w:kern w:val="0"/>
                <w:sz w:val="20"/>
                <w:szCs w:val="20"/>
                <w:u w:val="none"/>
                <w:lang w:val="en-US" w:eastAsia="zh-CN" w:bidi="ar"/>
              </w:rPr>
              <w:t>③绩效目标与项目实施内容有相关性，计1分，否则不得分。</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snapToGrid w:val="0"/>
                <w:color w:val="000000"/>
                <w:kern w:val="0"/>
                <w:sz w:val="20"/>
                <w:szCs w:val="20"/>
                <w:u w:val="none"/>
                <w:lang w:val="en-US" w:eastAsia="zh-CN" w:bidi="ar"/>
              </w:rPr>
              <w:t>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60" w:hRule="atLeast"/>
        </w:trPr>
        <w:tc>
          <w:tcPr>
            <w:tcW w:w="105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48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5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绩效指标明确性</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snapToGrid w:val="0"/>
                <w:color w:val="000000"/>
                <w:kern w:val="0"/>
                <w:sz w:val="20"/>
                <w:szCs w:val="20"/>
                <w:u w:val="none"/>
                <w:lang w:val="en-US" w:eastAsia="zh-CN" w:bidi="ar"/>
              </w:rPr>
              <w:t>3</w:t>
            </w: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依据绩效目标设定的绩效指标是否清晰、细化、可衡量等，用以反映和考核项目绩效目标的明细化情况。</w:t>
            </w:r>
          </w:p>
        </w:tc>
        <w:tc>
          <w:tcPr>
            <w:tcW w:w="48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sz w:val="20"/>
                <w:szCs w:val="20"/>
                <w:u w:val="none"/>
              </w:rPr>
            </w:pPr>
            <w:r>
              <w:rPr>
                <w:rStyle w:val="18"/>
                <w:snapToGrid w:val="0"/>
                <w:color w:val="000000"/>
                <w:lang w:val="en-US" w:eastAsia="zh-CN" w:bidi="ar"/>
              </w:rPr>
              <w:t>①将项目绩效目标细化分解为具体的绩效指标，计</w:t>
            </w:r>
            <w:r>
              <w:rPr>
                <w:rStyle w:val="19"/>
                <w:rFonts w:eastAsia="宋体"/>
                <w:snapToGrid w:val="0"/>
                <w:color w:val="000000"/>
                <w:lang w:val="en-US" w:eastAsia="zh-CN" w:bidi="ar"/>
              </w:rPr>
              <w:t>1</w:t>
            </w:r>
            <w:r>
              <w:rPr>
                <w:rStyle w:val="18"/>
                <w:snapToGrid w:val="0"/>
                <w:color w:val="000000"/>
                <w:lang w:val="en-US" w:eastAsia="zh-CN" w:bidi="ar"/>
              </w:rPr>
              <w:t>分；</w:t>
            </w:r>
            <w:r>
              <w:rPr>
                <w:rStyle w:val="18"/>
                <w:snapToGrid w:val="0"/>
                <w:color w:val="000000"/>
                <w:lang w:val="en-US" w:eastAsia="zh-CN" w:bidi="ar"/>
              </w:rPr>
              <w:br w:type="textWrapping"/>
            </w:r>
            <w:r>
              <w:rPr>
                <w:rStyle w:val="18"/>
                <w:snapToGrid w:val="0"/>
                <w:color w:val="000000"/>
                <w:lang w:val="en-US" w:eastAsia="zh-CN" w:bidi="ar"/>
              </w:rPr>
              <w:t>②通过清晰、可衡量的指标值予以体现，计1分；</w:t>
            </w:r>
            <w:r>
              <w:rPr>
                <w:rStyle w:val="18"/>
                <w:snapToGrid w:val="0"/>
                <w:color w:val="000000"/>
                <w:lang w:val="en-US" w:eastAsia="zh-CN" w:bidi="ar"/>
              </w:rPr>
              <w:br w:type="textWrapping"/>
            </w:r>
            <w:r>
              <w:rPr>
                <w:rStyle w:val="18"/>
                <w:snapToGrid w:val="0"/>
                <w:color w:val="000000"/>
                <w:lang w:val="en-US" w:eastAsia="zh-CN" w:bidi="ar"/>
              </w:rPr>
              <w:t>③与项目目标任务数或计划数相对应，计1分。</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snapToGrid w:val="0"/>
                <w:color w:val="000000"/>
                <w:kern w:val="0"/>
                <w:sz w:val="20"/>
                <w:szCs w:val="20"/>
                <w:u w:val="none"/>
                <w:lang w:val="en-US" w:eastAsia="zh-CN" w:bidi="ar"/>
              </w:rPr>
              <w:t>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320" w:hRule="atLeast"/>
        </w:trPr>
        <w:tc>
          <w:tcPr>
            <w:tcW w:w="105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4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资金投入（5分）</w:t>
            </w:r>
          </w:p>
        </w:tc>
        <w:tc>
          <w:tcPr>
            <w:tcW w:w="15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预算编制科学性</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snapToGrid w:val="0"/>
                <w:color w:val="000000"/>
                <w:kern w:val="0"/>
                <w:sz w:val="20"/>
                <w:szCs w:val="20"/>
                <w:u w:val="none"/>
                <w:lang w:val="en-US" w:eastAsia="zh-CN" w:bidi="ar"/>
              </w:rPr>
              <w:t>5</w:t>
            </w: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项目预算编制是否经过科学论证、有明确标准，资金额度与年度目标是否相适应，用以反映和考核项目预算编制的科学性、合理性情况。</w:t>
            </w:r>
          </w:p>
        </w:tc>
        <w:tc>
          <w:tcPr>
            <w:tcW w:w="48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①预算内容与项目内容匹配，计1分，否则不得分；                                     ②预算额度按照标准编制、测算依据充分，计2分，否则不得分；                                        ③预算确定的项目投资额或资金量与工作任务相匹配，计2分，否则不得分。</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snapToGrid w:val="0"/>
                <w:color w:val="000000"/>
                <w:kern w:val="0"/>
                <w:sz w:val="20"/>
                <w:szCs w:val="20"/>
                <w:u w:val="none"/>
                <w:lang w:val="en-US" w:eastAsia="zh-CN" w:bidi="ar"/>
              </w:rPr>
              <w:t>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80" w:hRule="atLeast"/>
        </w:trPr>
        <w:tc>
          <w:tcPr>
            <w:tcW w:w="105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过程   （25分）</w:t>
            </w:r>
          </w:p>
        </w:tc>
        <w:tc>
          <w:tcPr>
            <w:tcW w:w="148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资金管理（15分）</w:t>
            </w:r>
          </w:p>
        </w:tc>
        <w:tc>
          <w:tcPr>
            <w:tcW w:w="15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资金到位率</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snapToGrid w:val="0"/>
                <w:color w:val="000000"/>
                <w:kern w:val="0"/>
                <w:sz w:val="20"/>
                <w:szCs w:val="20"/>
                <w:u w:val="none"/>
                <w:lang w:val="en-US" w:eastAsia="zh-CN" w:bidi="ar"/>
              </w:rPr>
              <w:t>5</w:t>
            </w: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实际到位资金与预算资金的比率，用以反映和考核资金落实情况对项目实施的总体保障程度。</w:t>
            </w:r>
          </w:p>
        </w:tc>
        <w:tc>
          <w:tcPr>
            <w:tcW w:w="48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资金到位率=（实际到位资金/预算资金）×100%。资金到位率100%计5分，每下降10%（含）扣0.5分，扣完为止。</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snapToGrid w:val="0"/>
                <w:color w:val="000000"/>
                <w:kern w:val="0"/>
                <w:sz w:val="20"/>
                <w:szCs w:val="20"/>
                <w:u w:val="none"/>
                <w:lang w:val="en-US" w:eastAsia="zh-CN" w:bidi="ar"/>
              </w:rPr>
              <w:t>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60" w:hRule="atLeast"/>
        </w:trPr>
        <w:tc>
          <w:tcPr>
            <w:tcW w:w="105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48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5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预算执行率</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snapToGrid w:val="0"/>
                <w:color w:val="000000"/>
                <w:kern w:val="0"/>
                <w:sz w:val="20"/>
                <w:szCs w:val="20"/>
                <w:u w:val="none"/>
                <w:lang w:val="en-US" w:eastAsia="zh-CN" w:bidi="ar"/>
              </w:rPr>
              <w:t>5</w:t>
            </w: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项目预算资金是否按照计划执行，用以反映或考核项目预算执行情况。</w:t>
            </w:r>
          </w:p>
        </w:tc>
        <w:tc>
          <w:tcPr>
            <w:tcW w:w="48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预算执行率=（实际支出资金/实际到位资金）×100%，项目资金执行率100%,计5分，每下降10%（含）扣1分，扣完为止。</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snapToGrid w:val="0"/>
                <w:color w:val="000000"/>
                <w:kern w:val="0"/>
                <w:sz w:val="20"/>
                <w:szCs w:val="20"/>
                <w:u w:val="none"/>
                <w:lang w:val="en-US" w:eastAsia="zh-CN" w:bidi="ar"/>
              </w:rPr>
              <w:t>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40" w:hRule="atLeast"/>
        </w:trPr>
        <w:tc>
          <w:tcPr>
            <w:tcW w:w="105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48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5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资金使用合规性</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snapToGrid w:val="0"/>
                <w:color w:val="000000"/>
                <w:kern w:val="0"/>
                <w:sz w:val="20"/>
                <w:szCs w:val="20"/>
                <w:u w:val="none"/>
                <w:lang w:val="en-US" w:eastAsia="zh-CN" w:bidi="ar"/>
              </w:rPr>
              <w:t>5</w:t>
            </w: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项目资金使用是否符合相关的财务管理制度规定，用以反映和考核项目资金的规范运行情况。</w:t>
            </w:r>
          </w:p>
        </w:tc>
        <w:tc>
          <w:tcPr>
            <w:tcW w:w="48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①符合国家财经法规和财务管理制度以及有关专项资金管理办法的规定,计2分，否则不得分；</w:t>
            </w:r>
            <w:r>
              <w:rPr>
                <w:rFonts w:hint="eastAsia" w:ascii="宋体" w:hAnsi="宋体" w:eastAsia="宋体" w:cs="宋体"/>
                <w:i w:val="0"/>
                <w:iCs w:val="0"/>
                <w:snapToGrid w:val="0"/>
                <w:color w:val="000000"/>
                <w:kern w:val="0"/>
                <w:sz w:val="20"/>
                <w:szCs w:val="20"/>
                <w:u w:val="none"/>
                <w:lang w:val="en-US" w:eastAsia="zh-CN" w:bidi="ar"/>
              </w:rPr>
              <w:br w:type="textWrapping"/>
            </w:r>
            <w:r>
              <w:rPr>
                <w:rFonts w:hint="eastAsia" w:ascii="宋体" w:hAnsi="宋体" w:eastAsia="宋体" w:cs="宋体"/>
                <w:i w:val="0"/>
                <w:iCs w:val="0"/>
                <w:snapToGrid w:val="0"/>
                <w:color w:val="000000"/>
                <w:kern w:val="0"/>
                <w:sz w:val="20"/>
                <w:szCs w:val="20"/>
                <w:u w:val="none"/>
                <w:lang w:val="en-US" w:eastAsia="zh-CN" w:bidi="ar"/>
              </w:rPr>
              <w:t>②专账核算专项资金的使用、专款专用,计2分，否则不得分；</w:t>
            </w:r>
            <w:r>
              <w:rPr>
                <w:rFonts w:hint="eastAsia" w:ascii="宋体" w:hAnsi="宋体" w:eastAsia="宋体" w:cs="宋体"/>
                <w:i w:val="0"/>
                <w:iCs w:val="0"/>
                <w:snapToGrid w:val="0"/>
                <w:color w:val="000000"/>
                <w:kern w:val="0"/>
                <w:sz w:val="20"/>
                <w:szCs w:val="20"/>
                <w:u w:val="none"/>
                <w:lang w:val="en-US" w:eastAsia="zh-CN" w:bidi="ar"/>
              </w:rPr>
              <w:br w:type="textWrapping"/>
            </w:r>
            <w:r>
              <w:rPr>
                <w:rFonts w:hint="eastAsia" w:ascii="宋体" w:hAnsi="宋体" w:eastAsia="宋体" w:cs="宋体"/>
                <w:i w:val="0"/>
                <w:iCs w:val="0"/>
                <w:snapToGrid w:val="0"/>
                <w:color w:val="000000"/>
                <w:kern w:val="0"/>
                <w:sz w:val="20"/>
                <w:szCs w:val="20"/>
                <w:u w:val="none"/>
                <w:lang w:val="en-US" w:eastAsia="zh-CN" w:bidi="ar"/>
              </w:rPr>
              <w:t>③资金的拨付有完整的审批程序和手续,计1分，否则不得分；</w:t>
            </w:r>
            <w:r>
              <w:rPr>
                <w:rFonts w:hint="eastAsia" w:ascii="宋体" w:hAnsi="宋体" w:eastAsia="宋体" w:cs="宋体"/>
                <w:i w:val="0"/>
                <w:iCs w:val="0"/>
                <w:snapToGrid w:val="0"/>
                <w:color w:val="000000"/>
                <w:kern w:val="0"/>
                <w:sz w:val="20"/>
                <w:szCs w:val="20"/>
                <w:u w:val="none"/>
                <w:lang w:val="en-US" w:eastAsia="zh-CN" w:bidi="ar"/>
              </w:rPr>
              <w:br w:type="textWrapping"/>
            </w:r>
            <w:r>
              <w:rPr>
                <w:rFonts w:hint="eastAsia" w:ascii="宋体" w:hAnsi="宋体" w:eastAsia="宋体" w:cs="宋体"/>
                <w:i w:val="0"/>
                <w:iCs w:val="0"/>
                <w:snapToGrid w:val="0"/>
                <w:color w:val="000000"/>
                <w:kern w:val="0"/>
                <w:sz w:val="20"/>
                <w:szCs w:val="20"/>
                <w:u w:val="none"/>
                <w:lang w:val="en-US" w:eastAsia="zh-CN" w:bidi="ar"/>
              </w:rPr>
              <w:t>④存在截留、挤占、挪用、虚列支出情况本项5分全扣。</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snapToGrid w:val="0"/>
                <w:color w:val="000000"/>
                <w:kern w:val="0"/>
                <w:sz w:val="20"/>
                <w:szCs w:val="20"/>
                <w:u w:val="none"/>
                <w:lang w:val="en-US" w:eastAsia="zh-CN" w:bidi="ar"/>
              </w:rPr>
              <w:t>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40" w:hRule="atLeast"/>
        </w:trPr>
        <w:tc>
          <w:tcPr>
            <w:tcW w:w="105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48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组织实施（10分）</w:t>
            </w:r>
          </w:p>
        </w:tc>
        <w:tc>
          <w:tcPr>
            <w:tcW w:w="15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管理制度健全性</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snapToGrid w:val="0"/>
                <w:color w:val="000000"/>
                <w:kern w:val="0"/>
                <w:sz w:val="20"/>
                <w:szCs w:val="20"/>
                <w:u w:val="none"/>
                <w:lang w:val="en-US" w:eastAsia="zh-CN" w:bidi="ar"/>
              </w:rPr>
              <w:t>5</w:t>
            </w: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项目实施单位的财务和业务管理制度是否健全，用以反映和考核财务和业务管理制度对项目顺利实施的保障情况。</w:t>
            </w:r>
          </w:p>
        </w:tc>
        <w:tc>
          <w:tcPr>
            <w:tcW w:w="48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①已制定或具有相应的财务和业务管理制度,计3分，否则酌情扣分；</w:t>
            </w:r>
            <w:r>
              <w:rPr>
                <w:rFonts w:hint="eastAsia" w:ascii="宋体" w:hAnsi="宋体" w:eastAsia="宋体" w:cs="宋体"/>
                <w:i w:val="0"/>
                <w:iCs w:val="0"/>
                <w:snapToGrid w:val="0"/>
                <w:color w:val="000000"/>
                <w:kern w:val="0"/>
                <w:sz w:val="20"/>
                <w:szCs w:val="20"/>
                <w:u w:val="none"/>
                <w:lang w:val="en-US" w:eastAsia="zh-CN" w:bidi="ar"/>
              </w:rPr>
              <w:br w:type="textWrapping"/>
            </w:r>
            <w:r>
              <w:rPr>
                <w:rFonts w:hint="eastAsia" w:ascii="宋体" w:hAnsi="宋体" w:eastAsia="宋体" w:cs="宋体"/>
                <w:i w:val="0"/>
                <w:iCs w:val="0"/>
                <w:snapToGrid w:val="0"/>
                <w:color w:val="000000"/>
                <w:kern w:val="0"/>
                <w:sz w:val="20"/>
                <w:szCs w:val="20"/>
                <w:u w:val="none"/>
                <w:lang w:val="en-US" w:eastAsia="zh-CN" w:bidi="ar"/>
              </w:rPr>
              <w:t>②财务和业务管理制度内容合法、合规、完整，计2分，否则酌情扣分。</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snapToGrid w:val="0"/>
                <w:color w:val="000000"/>
                <w:kern w:val="0"/>
                <w:sz w:val="20"/>
                <w:szCs w:val="20"/>
                <w:u w:val="none"/>
                <w:lang w:val="en-US" w:eastAsia="zh-CN" w:bidi="ar"/>
              </w:rPr>
              <w:t>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560" w:hRule="atLeast"/>
        </w:trPr>
        <w:tc>
          <w:tcPr>
            <w:tcW w:w="105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48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5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制度执行有效性</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snapToGrid w:val="0"/>
                <w:color w:val="000000"/>
                <w:kern w:val="0"/>
                <w:sz w:val="20"/>
                <w:szCs w:val="20"/>
                <w:u w:val="none"/>
                <w:lang w:val="en-US" w:eastAsia="zh-CN" w:bidi="ar"/>
              </w:rPr>
              <w:t>5</w:t>
            </w: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项目实施是否符合相关项目管理制度规定，用以反映和考核相关项目管理制度的有效执行情况。</w:t>
            </w:r>
          </w:p>
        </w:tc>
        <w:tc>
          <w:tcPr>
            <w:tcW w:w="48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①项目实施严格依据法律法规、制度、程序执行，计2分，否则不得分；                                                      ②业务执行过程有关资料完整，归档及时，计2分，否则不得分；                                  ③预算支出实施的人员条件、场地设备、信息支撑等落实到位，计1分，否则不得分。</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snapToGrid w:val="0"/>
                <w:color w:val="000000"/>
                <w:kern w:val="0"/>
                <w:sz w:val="20"/>
                <w:szCs w:val="20"/>
                <w:u w:val="none"/>
                <w:lang w:val="en-US" w:eastAsia="zh-CN" w:bidi="ar"/>
              </w:rPr>
              <w:t>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00" w:hRule="atLeast"/>
        </w:trPr>
        <w:tc>
          <w:tcPr>
            <w:tcW w:w="105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产出   （35分）</w:t>
            </w:r>
          </w:p>
        </w:tc>
        <w:tc>
          <w:tcPr>
            <w:tcW w:w="14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成本指标</w:t>
            </w:r>
          </w:p>
        </w:tc>
        <w:tc>
          <w:tcPr>
            <w:tcW w:w="15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成本节约率</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snapToGrid w:val="0"/>
                <w:color w:val="000000"/>
                <w:kern w:val="0"/>
                <w:sz w:val="20"/>
                <w:szCs w:val="20"/>
                <w:u w:val="none"/>
                <w:lang w:val="en-US" w:eastAsia="zh-CN" w:bidi="ar"/>
              </w:rPr>
              <w:t>9</w:t>
            </w: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考核2022年农业保险资金成本的控制情况</w:t>
            </w:r>
          </w:p>
        </w:tc>
        <w:tc>
          <w:tcPr>
            <w:tcW w:w="48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sz w:val="20"/>
                <w:szCs w:val="20"/>
                <w:u w:val="none"/>
              </w:rPr>
            </w:pPr>
            <w:r>
              <w:rPr>
                <w:rStyle w:val="18"/>
                <w:snapToGrid w:val="0"/>
                <w:color w:val="000000"/>
                <w:lang w:val="en-US" w:eastAsia="zh-CN" w:bidi="ar"/>
              </w:rPr>
              <w:t>成本节约率</w:t>
            </w:r>
            <w:r>
              <w:rPr>
                <w:rStyle w:val="20"/>
                <w:rFonts w:eastAsia="宋体"/>
                <w:snapToGrid w:val="0"/>
                <w:color w:val="000000"/>
                <w:lang w:val="en-US" w:eastAsia="zh-CN" w:bidi="ar"/>
              </w:rPr>
              <w:t>≥</w:t>
            </w:r>
            <w:r>
              <w:rPr>
                <w:rStyle w:val="18"/>
                <w:snapToGrid w:val="0"/>
                <w:color w:val="000000"/>
                <w:lang w:val="en-US" w:eastAsia="zh-CN" w:bidi="ar"/>
              </w:rPr>
              <w:t>0，得10分；</w:t>
            </w:r>
            <w:r>
              <w:rPr>
                <w:rStyle w:val="18"/>
                <w:snapToGrid w:val="0"/>
                <w:color w:val="000000"/>
                <w:lang w:val="en-US" w:eastAsia="zh-CN" w:bidi="ar"/>
              </w:rPr>
              <w:br w:type="textWrapping"/>
            </w:r>
            <w:r>
              <w:rPr>
                <w:rStyle w:val="18"/>
                <w:snapToGrid w:val="0"/>
                <w:color w:val="000000"/>
                <w:lang w:val="en-US" w:eastAsia="zh-CN" w:bidi="ar"/>
              </w:rPr>
              <w:t>成本节约率&lt;0，绝对值每超出1%，扣1分，扣完为止。</w:t>
            </w:r>
          </w:p>
        </w:tc>
        <w:tc>
          <w:tcPr>
            <w:tcW w:w="7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20" w:hRule="atLeast"/>
        </w:trPr>
        <w:tc>
          <w:tcPr>
            <w:tcW w:w="105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485" w:type="dxa"/>
            <w:vMerge w:val="restar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数量指标</w:t>
            </w:r>
          </w:p>
        </w:tc>
        <w:tc>
          <w:tcPr>
            <w:tcW w:w="15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水稻投保面积覆盖面</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snapToGrid w:val="0"/>
                <w:color w:val="000000"/>
                <w:kern w:val="0"/>
                <w:sz w:val="20"/>
                <w:szCs w:val="20"/>
                <w:u w:val="none"/>
                <w:lang w:val="en-US" w:eastAsia="zh-CN" w:bidi="ar"/>
              </w:rPr>
              <w:t>1</w:t>
            </w: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考核2022年水稻投保面积覆盖面情况</w:t>
            </w:r>
          </w:p>
        </w:tc>
        <w:tc>
          <w:tcPr>
            <w:tcW w:w="48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水稻投保面积覆盖面≥71%，得1分；水稻投保面积覆盖面71%以下，得分为实际覆盖面/71%*1</w:t>
            </w:r>
          </w:p>
        </w:tc>
        <w:tc>
          <w:tcPr>
            <w:tcW w:w="7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0" w:hRule="atLeast"/>
        </w:trPr>
        <w:tc>
          <w:tcPr>
            <w:tcW w:w="105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485"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5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育肥猪保险覆盖率</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snapToGrid w:val="0"/>
                <w:color w:val="000000"/>
                <w:kern w:val="0"/>
                <w:sz w:val="20"/>
                <w:szCs w:val="20"/>
                <w:u w:val="none"/>
                <w:lang w:val="en-US" w:eastAsia="zh-CN" w:bidi="ar"/>
              </w:rPr>
              <w:t>1</w:t>
            </w: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考核2022年育肥猪保险覆盖率情况</w:t>
            </w:r>
          </w:p>
        </w:tc>
        <w:tc>
          <w:tcPr>
            <w:tcW w:w="48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育肥猪保险覆盖率≥35%，得1分；育肥猪保险覆盖率35%以下，得分为实际覆盖率/35%*1</w:t>
            </w:r>
          </w:p>
        </w:tc>
        <w:tc>
          <w:tcPr>
            <w:tcW w:w="7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0.5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0" w:hRule="atLeast"/>
        </w:trPr>
        <w:tc>
          <w:tcPr>
            <w:tcW w:w="105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485"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5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油菜投保面积覆盖面</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snapToGrid w:val="0"/>
                <w:color w:val="000000"/>
                <w:kern w:val="0"/>
                <w:sz w:val="20"/>
                <w:szCs w:val="20"/>
                <w:u w:val="none"/>
                <w:lang w:val="en-US" w:eastAsia="zh-CN" w:bidi="ar"/>
              </w:rPr>
              <w:t>1</w:t>
            </w: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考核2022年油菜投保面积覆盖面情况</w:t>
            </w:r>
          </w:p>
        </w:tc>
        <w:tc>
          <w:tcPr>
            <w:tcW w:w="48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油菜投保面积覆盖面≥59%，得1分；油菜投保面积覆盖面59%以下，得分为实际覆盖面/59%*1</w:t>
            </w:r>
          </w:p>
        </w:tc>
        <w:tc>
          <w:tcPr>
            <w:tcW w:w="7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80" w:hRule="atLeast"/>
        </w:trPr>
        <w:tc>
          <w:tcPr>
            <w:tcW w:w="105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485"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5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能繁母猪保险覆盖率</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snapToGrid w:val="0"/>
                <w:color w:val="000000"/>
                <w:kern w:val="0"/>
                <w:sz w:val="20"/>
                <w:szCs w:val="20"/>
                <w:u w:val="none"/>
                <w:lang w:val="en-US" w:eastAsia="zh-CN" w:bidi="ar"/>
              </w:rPr>
              <w:t>1</w:t>
            </w: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考核2022年能繁母猪保险覆盖率情况</w:t>
            </w:r>
          </w:p>
        </w:tc>
        <w:tc>
          <w:tcPr>
            <w:tcW w:w="48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能繁母猪保险覆盖率≥39%，得1分；能繁母猪保险覆盖率39%以下，得分为实际覆盖率/39%*1</w:t>
            </w:r>
          </w:p>
        </w:tc>
        <w:tc>
          <w:tcPr>
            <w:tcW w:w="7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0.4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80" w:hRule="atLeast"/>
        </w:trPr>
        <w:tc>
          <w:tcPr>
            <w:tcW w:w="105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485"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5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公益林投保面积覆盖面</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snapToGrid w:val="0"/>
                <w:color w:val="000000"/>
                <w:kern w:val="0"/>
                <w:sz w:val="20"/>
                <w:szCs w:val="20"/>
                <w:u w:val="none"/>
                <w:lang w:val="en-US" w:eastAsia="zh-CN" w:bidi="ar"/>
              </w:rPr>
              <w:t>1</w:t>
            </w: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考核2022年公益林投保面积覆盖面情况</w:t>
            </w:r>
          </w:p>
        </w:tc>
        <w:tc>
          <w:tcPr>
            <w:tcW w:w="48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公益林投保面积覆盖面100%，得1分；公益林投保面积覆盖面100%以下，得分为实际覆盖面*1</w:t>
            </w:r>
          </w:p>
        </w:tc>
        <w:tc>
          <w:tcPr>
            <w:tcW w:w="7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80" w:hRule="atLeast"/>
        </w:trPr>
        <w:tc>
          <w:tcPr>
            <w:tcW w:w="105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485"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5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商品林投保面积覆盖面</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snapToGrid w:val="0"/>
                <w:color w:val="000000"/>
                <w:kern w:val="0"/>
                <w:sz w:val="20"/>
                <w:szCs w:val="20"/>
                <w:u w:val="none"/>
                <w:lang w:val="en-US" w:eastAsia="zh-CN" w:bidi="ar"/>
              </w:rPr>
              <w:t>1</w:t>
            </w: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考核2022年商品林投保面积覆盖面情况</w:t>
            </w:r>
          </w:p>
        </w:tc>
        <w:tc>
          <w:tcPr>
            <w:tcW w:w="48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商品林投保面积覆盖面≥88%，得1分；商品林投保面积覆盖面88%以下，得分为商品林投保面积实际覆盖面/88%*1</w:t>
            </w:r>
          </w:p>
        </w:tc>
        <w:tc>
          <w:tcPr>
            <w:tcW w:w="7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0" w:hRule="atLeast"/>
        </w:trPr>
        <w:tc>
          <w:tcPr>
            <w:tcW w:w="105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485"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5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柑橘投保面积覆盖面</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snapToGrid w:val="0"/>
                <w:color w:val="000000"/>
                <w:kern w:val="0"/>
                <w:sz w:val="20"/>
                <w:szCs w:val="20"/>
                <w:u w:val="none"/>
                <w:lang w:val="en-US" w:eastAsia="zh-CN" w:bidi="ar"/>
              </w:rPr>
              <w:t>1</w:t>
            </w: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考核2022年柑橘投保面积覆盖面情况</w:t>
            </w:r>
          </w:p>
        </w:tc>
        <w:tc>
          <w:tcPr>
            <w:tcW w:w="48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柑橘投保面积覆盖面≥29%，得1分；柑橘投保面积覆盖面29%以下，得分为橘投保面积实际覆盖面/29%*1</w:t>
            </w:r>
          </w:p>
        </w:tc>
        <w:tc>
          <w:tcPr>
            <w:tcW w:w="7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80" w:hRule="atLeast"/>
        </w:trPr>
        <w:tc>
          <w:tcPr>
            <w:tcW w:w="105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485"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5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黄桃投保面积覆盖面</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snapToGrid w:val="0"/>
                <w:color w:val="000000"/>
                <w:kern w:val="0"/>
                <w:sz w:val="20"/>
                <w:szCs w:val="20"/>
                <w:u w:val="none"/>
                <w:lang w:val="en-US" w:eastAsia="zh-CN" w:bidi="ar"/>
              </w:rPr>
              <w:t>1</w:t>
            </w: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考核2022年黄桃投保面积覆盖面情况</w:t>
            </w:r>
          </w:p>
        </w:tc>
        <w:tc>
          <w:tcPr>
            <w:tcW w:w="48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黄桃投保面积覆盖面≥33%，得1分；黄桃投保面积覆盖面33%以下，得分为黄桃投保面积实际覆盖面/33%*1</w:t>
            </w:r>
          </w:p>
        </w:tc>
        <w:tc>
          <w:tcPr>
            <w:tcW w:w="7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80" w:hRule="atLeast"/>
        </w:trPr>
        <w:tc>
          <w:tcPr>
            <w:tcW w:w="105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485"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5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肉鸡保险覆盖率</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snapToGrid w:val="0"/>
                <w:color w:val="000000"/>
                <w:kern w:val="0"/>
                <w:sz w:val="20"/>
                <w:szCs w:val="20"/>
                <w:u w:val="none"/>
                <w:lang w:val="en-US" w:eastAsia="zh-CN" w:bidi="ar"/>
              </w:rPr>
              <w:t>1</w:t>
            </w: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考核2022年肉鸡保险覆盖率情况</w:t>
            </w:r>
          </w:p>
        </w:tc>
        <w:tc>
          <w:tcPr>
            <w:tcW w:w="48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肉鸡保险覆盖率≥33%，得1分；肉鸡保险覆盖率33%以下，得分为肉鸡保险实际覆盖率/33%*1</w:t>
            </w:r>
          </w:p>
        </w:tc>
        <w:tc>
          <w:tcPr>
            <w:tcW w:w="7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60" w:hRule="atLeast"/>
        </w:trPr>
        <w:tc>
          <w:tcPr>
            <w:tcW w:w="105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48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质量指标</w:t>
            </w:r>
          </w:p>
        </w:tc>
        <w:tc>
          <w:tcPr>
            <w:tcW w:w="15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绝对免赔额</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snapToGrid w:val="0"/>
                <w:color w:val="000000"/>
                <w:kern w:val="0"/>
                <w:sz w:val="20"/>
                <w:szCs w:val="20"/>
                <w:u w:val="none"/>
                <w:lang w:val="en-US" w:eastAsia="zh-CN" w:bidi="ar"/>
              </w:rPr>
              <w:t>2</w:t>
            </w: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考核2022年农业保险绝对免赔额情况</w:t>
            </w:r>
          </w:p>
        </w:tc>
        <w:tc>
          <w:tcPr>
            <w:tcW w:w="48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绝对免赔额0元，得2分；否则计0分</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snapToGrid w:val="0"/>
                <w:color w:val="000000"/>
                <w:kern w:val="0"/>
                <w:sz w:val="20"/>
                <w:szCs w:val="20"/>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80" w:hRule="atLeast"/>
        </w:trPr>
        <w:tc>
          <w:tcPr>
            <w:tcW w:w="105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48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5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理赔结案率</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snapToGrid w:val="0"/>
                <w:color w:val="000000"/>
                <w:kern w:val="0"/>
                <w:sz w:val="20"/>
                <w:szCs w:val="20"/>
                <w:u w:val="none"/>
                <w:lang w:val="en-US" w:eastAsia="zh-CN" w:bidi="ar"/>
              </w:rPr>
              <w:t>2</w:t>
            </w: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考核2022年农业保险理赔结案情况</w:t>
            </w:r>
          </w:p>
        </w:tc>
        <w:tc>
          <w:tcPr>
            <w:tcW w:w="48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理赔结案率100%，得2分；100%以下得为理赔结案率*2分</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snapToGrid w:val="0"/>
                <w:color w:val="000000"/>
                <w:kern w:val="0"/>
                <w:sz w:val="20"/>
                <w:szCs w:val="20"/>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60" w:hRule="atLeast"/>
        </w:trPr>
        <w:tc>
          <w:tcPr>
            <w:tcW w:w="105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48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5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理赔的户数/投保户数</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snapToGrid w:val="0"/>
                <w:color w:val="000000"/>
                <w:kern w:val="0"/>
                <w:sz w:val="20"/>
                <w:szCs w:val="20"/>
                <w:u w:val="none"/>
                <w:lang w:val="en-US" w:eastAsia="zh-CN" w:bidi="ar"/>
              </w:rPr>
              <w:t>2</w:t>
            </w: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考核2022年农业保险理赔的户数/投保户数情况</w:t>
            </w:r>
          </w:p>
        </w:tc>
        <w:tc>
          <w:tcPr>
            <w:tcW w:w="48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理赔的户数/投保户数≥50%，得2分；理赔的户数/投保户数50%以下，得分为实际比例/50%*2分。</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snapToGrid w:val="0"/>
                <w:color w:val="000000"/>
                <w:kern w:val="0"/>
                <w:sz w:val="20"/>
                <w:szCs w:val="20"/>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60" w:hRule="atLeast"/>
        </w:trPr>
        <w:tc>
          <w:tcPr>
            <w:tcW w:w="105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48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5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承保理赔公示率</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snapToGrid w:val="0"/>
                <w:color w:val="000000"/>
                <w:kern w:val="0"/>
                <w:sz w:val="20"/>
                <w:szCs w:val="20"/>
                <w:u w:val="none"/>
                <w:lang w:val="en-US" w:eastAsia="zh-CN" w:bidi="ar"/>
              </w:rPr>
              <w:t>2</w:t>
            </w: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考核2022年农业保险承保理赔公示率情况</w:t>
            </w:r>
          </w:p>
        </w:tc>
        <w:tc>
          <w:tcPr>
            <w:tcW w:w="48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承保理赔公示率100%，得2分；否则计0分</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snapToGrid w:val="0"/>
                <w:color w:val="000000"/>
                <w:kern w:val="0"/>
                <w:sz w:val="20"/>
                <w:szCs w:val="20"/>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20" w:hRule="atLeast"/>
        </w:trPr>
        <w:tc>
          <w:tcPr>
            <w:tcW w:w="105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4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时效指标</w:t>
            </w:r>
          </w:p>
        </w:tc>
        <w:tc>
          <w:tcPr>
            <w:tcW w:w="15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完成及时性</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snapToGrid w:val="0"/>
                <w:color w:val="000000"/>
                <w:kern w:val="0"/>
                <w:sz w:val="20"/>
                <w:szCs w:val="20"/>
                <w:u w:val="none"/>
                <w:lang w:val="en-US" w:eastAsia="zh-CN" w:bidi="ar"/>
              </w:rPr>
              <w:t>9</w:t>
            </w: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考核2022年农业保险资金项目完成及时性情况</w:t>
            </w:r>
          </w:p>
        </w:tc>
        <w:tc>
          <w:tcPr>
            <w:tcW w:w="48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及时完成得9分；未及时完成，视情况酌情扣分。</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snapToGrid w:val="0"/>
                <w:color w:val="000000"/>
                <w:kern w:val="0"/>
                <w:sz w:val="20"/>
                <w:szCs w:val="20"/>
                <w:u w:val="none"/>
                <w:lang w:val="en-US" w:eastAsia="zh-CN" w:bidi="ar"/>
              </w:rPr>
              <w:t>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80" w:hRule="atLeast"/>
        </w:trPr>
        <w:tc>
          <w:tcPr>
            <w:tcW w:w="105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效果   （25分）</w:t>
            </w:r>
          </w:p>
        </w:tc>
        <w:tc>
          <w:tcPr>
            <w:tcW w:w="1485" w:type="dxa"/>
            <w:vMerge w:val="restar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经济效益</w:t>
            </w:r>
          </w:p>
        </w:tc>
        <w:tc>
          <w:tcPr>
            <w:tcW w:w="15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风险保障总额</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snapToGrid w:val="0"/>
                <w:color w:val="000000"/>
                <w:kern w:val="0"/>
                <w:sz w:val="20"/>
                <w:szCs w:val="20"/>
                <w:u w:val="none"/>
                <w:lang w:val="en-US" w:eastAsia="zh-CN" w:bidi="ar"/>
              </w:rPr>
              <w:t>5</w:t>
            </w: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考核2022年农业保险资金项目的风险保障总额</w:t>
            </w:r>
          </w:p>
        </w:tc>
        <w:tc>
          <w:tcPr>
            <w:tcW w:w="48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风险保障总额高于去年，得5分；否则计0分。</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snapToGrid w:val="0"/>
                <w:color w:val="000000"/>
                <w:kern w:val="0"/>
                <w:sz w:val="20"/>
                <w:szCs w:val="20"/>
                <w:u w:val="none"/>
                <w:lang w:val="en-US" w:eastAsia="zh-CN" w:bidi="ar"/>
              </w:rPr>
              <w:t>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80" w:hRule="atLeast"/>
        </w:trPr>
        <w:tc>
          <w:tcPr>
            <w:tcW w:w="105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485"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5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农业保险综合费率</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snapToGrid w:val="0"/>
                <w:color w:val="000000"/>
                <w:kern w:val="0"/>
                <w:sz w:val="20"/>
                <w:szCs w:val="20"/>
                <w:u w:val="none"/>
                <w:lang w:val="en-US" w:eastAsia="zh-CN" w:bidi="ar"/>
              </w:rPr>
              <w:t>4</w:t>
            </w: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考核2022年农业保险资金项目农业保险综合费率情况</w:t>
            </w:r>
          </w:p>
        </w:tc>
        <w:tc>
          <w:tcPr>
            <w:tcW w:w="48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Style w:val="18"/>
                <w:snapToGrid w:val="0"/>
                <w:color w:val="000000"/>
                <w:lang w:val="en-US" w:eastAsia="zh-CN" w:bidi="ar"/>
              </w:rPr>
              <w:t>农业保险综合费率</w:t>
            </w:r>
            <w:r>
              <w:rPr>
                <w:rStyle w:val="20"/>
                <w:rFonts w:eastAsia="宋体"/>
                <w:snapToGrid w:val="0"/>
                <w:color w:val="000000"/>
                <w:lang w:val="en-US" w:eastAsia="zh-CN" w:bidi="ar"/>
              </w:rPr>
              <w:t>≤</w:t>
            </w:r>
            <w:r>
              <w:rPr>
                <w:rStyle w:val="18"/>
                <w:snapToGrid w:val="0"/>
                <w:color w:val="000000"/>
                <w:lang w:val="en-US" w:eastAsia="zh-CN" w:bidi="ar"/>
              </w:rPr>
              <w:t>20%，得4分；农业保险综合费率大于20%，得分为20%/实际农业保险综合费率*4分</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snapToGrid w:val="0"/>
                <w:color w:val="000000"/>
                <w:kern w:val="0"/>
                <w:sz w:val="20"/>
                <w:szCs w:val="20"/>
                <w:u w:val="none"/>
                <w:lang w:val="en-US" w:eastAsia="zh-CN" w:bidi="ar"/>
              </w:rPr>
              <w:t>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20" w:hRule="atLeast"/>
        </w:trPr>
        <w:tc>
          <w:tcPr>
            <w:tcW w:w="105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485" w:type="dxa"/>
            <w:tcBorders>
              <w:top w:val="single" w:color="000000" w:sz="4" w:space="0"/>
              <w:left w:val="single" w:color="000000" w:sz="4" w:space="0"/>
              <w:bottom w:val="nil"/>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社会效益</w:t>
            </w:r>
          </w:p>
        </w:tc>
        <w:tc>
          <w:tcPr>
            <w:tcW w:w="15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经办机构县级分支机构覆盖率</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snapToGrid w:val="0"/>
                <w:color w:val="000000"/>
                <w:kern w:val="0"/>
                <w:sz w:val="20"/>
                <w:szCs w:val="20"/>
                <w:u w:val="none"/>
                <w:lang w:val="en-US" w:eastAsia="zh-CN" w:bidi="ar"/>
              </w:rPr>
              <w:t>8</w:t>
            </w: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考核2022年农业保险资金经办机构县级分支机构</w:t>
            </w:r>
            <w:r>
              <w:rPr>
                <w:rFonts w:hint="eastAsia" w:ascii="宋体" w:hAnsi="宋体" w:eastAsia="宋体" w:cs="宋体"/>
                <w:i w:val="0"/>
                <w:iCs w:val="0"/>
                <w:snapToGrid w:val="0"/>
                <w:color w:val="000000"/>
                <w:kern w:val="0"/>
                <w:sz w:val="20"/>
                <w:szCs w:val="20"/>
                <w:u w:val="none"/>
                <w:lang w:val="en-US" w:eastAsia="zh-CN" w:bidi="ar"/>
              </w:rPr>
              <w:br w:type="textWrapping"/>
            </w:r>
            <w:r>
              <w:rPr>
                <w:rFonts w:hint="eastAsia" w:ascii="宋体" w:hAnsi="宋体" w:eastAsia="宋体" w:cs="宋体"/>
                <w:i w:val="0"/>
                <w:iCs w:val="0"/>
                <w:snapToGrid w:val="0"/>
                <w:color w:val="000000"/>
                <w:kern w:val="0"/>
                <w:sz w:val="20"/>
                <w:szCs w:val="20"/>
                <w:u w:val="none"/>
                <w:lang w:val="en-US" w:eastAsia="zh-CN" w:bidi="ar"/>
              </w:rPr>
              <w:t>覆盖率情况</w:t>
            </w:r>
          </w:p>
        </w:tc>
        <w:tc>
          <w:tcPr>
            <w:tcW w:w="48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经办机构县级分支机构覆盖率100%，得8分；否则，计0分</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snapToGrid w:val="0"/>
                <w:color w:val="000000"/>
                <w:kern w:val="0"/>
                <w:sz w:val="20"/>
                <w:szCs w:val="20"/>
                <w:u w:val="none"/>
                <w:lang w:val="en-US" w:eastAsia="zh-CN" w:bidi="ar"/>
              </w:rPr>
              <w:t>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00" w:hRule="atLeast"/>
        </w:trPr>
        <w:tc>
          <w:tcPr>
            <w:tcW w:w="105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48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满意度</w:t>
            </w:r>
          </w:p>
        </w:tc>
        <w:tc>
          <w:tcPr>
            <w:tcW w:w="15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参保农户满意度</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snapToGrid w:val="0"/>
                <w:color w:val="000000"/>
                <w:kern w:val="0"/>
                <w:sz w:val="20"/>
                <w:szCs w:val="20"/>
                <w:u w:val="none"/>
                <w:lang w:val="en-US" w:eastAsia="zh-CN" w:bidi="ar"/>
              </w:rPr>
              <w:t>8</w:t>
            </w: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考核2022年农业保险资金参保农户满意度情况</w:t>
            </w:r>
          </w:p>
        </w:tc>
        <w:tc>
          <w:tcPr>
            <w:tcW w:w="48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参保农户满意度≥80%，得8分；参保农户满意度80%以下，得分为参保农户实际满意度/80%*8分</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snapToGrid w:val="0"/>
                <w:color w:val="000000"/>
                <w:kern w:val="0"/>
                <w:sz w:val="20"/>
                <w:szCs w:val="20"/>
                <w:u w:val="none"/>
                <w:lang w:val="en-US" w:eastAsia="zh-CN" w:bidi="ar"/>
              </w:rPr>
              <w:t>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00" w:hRule="atLeast"/>
        </w:trPr>
        <w:tc>
          <w:tcPr>
            <w:tcW w:w="10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合计</w:t>
            </w:r>
          </w:p>
        </w:tc>
        <w:tc>
          <w:tcPr>
            <w:tcW w:w="148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0"/>
                <w:szCs w:val="20"/>
                <w:u w:val="none"/>
              </w:rPr>
            </w:pPr>
          </w:p>
        </w:tc>
        <w:tc>
          <w:tcPr>
            <w:tcW w:w="15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0"/>
                <w:szCs w:val="20"/>
                <w:u w:val="none"/>
              </w:rPr>
            </w:pP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snapToGrid w:val="0"/>
                <w:color w:val="000000"/>
                <w:kern w:val="0"/>
                <w:sz w:val="20"/>
                <w:szCs w:val="20"/>
                <w:u w:val="none"/>
                <w:lang w:val="en-US" w:eastAsia="zh-CN" w:bidi="ar"/>
              </w:rPr>
              <w:t>100</w:t>
            </w: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0"/>
                <w:szCs w:val="20"/>
                <w:u w:val="none"/>
              </w:rPr>
            </w:pPr>
          </w:p>
        </w:tc>
        <w:tc>
          <w:tcPr>
            <w:tcW w:w="484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0"/>
                <w:szCs w:val="20"/>
                <w:u w:val="none"/>
              </w:rPr>
            </w:pP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snapToGrid w:val="0"/>
                <w:color w:val="000000"/>
                <w:kern w:val="0"/>
                <w:sz w:val="20"/>
                <w:szCs w:val="20"/>
                <w:u w:val="none"/>
                <w:lang w:val="en-US" w:eastAsia="zh-CN" w:bidi="ar"/>
              </w:rPr>
              <w:t>96.9</w:t>
            </w:r>
          </w:p>
        </w:tc>
      </w:tr>
    </w:tbl>
    <w:p>
      <w:pPr>
        <w:keepNext w:val="0"/>
        <w:keepLines w:val="0"/>
        <w:pageBreakBefore w:val="0"/>
        <w:widowControl/>
        <w:kinsoku w:val="0"/>
        <w:wordWrap/>
        <w:overflowPunct/>
        <w:topLinePunct w:val="0"/>
        <w:autoSpaceDE w:val="0"/>
        <w:autoSpaceDN w:val="0"/>
        <w:bidi w:val="0"/>
        <w:adjustRightInd w:val="0"/>
        <w:snapToGrid w:val="0"/>
        <w:spacing w:before="0" w:after="0" w:line="510" w:lineRule="exact"/>
        <w:ind w:left="0" w:firstLine="0"/>
        <w:jc w:val="both"/>
        <w:textAlignment w:val="baseline"/>
        <w:rPr>
          <w:rFonts w:hint="eastAsia" w:ascii="仿宋" w:hAnsi="仿宋" w:eastAsia="仿宋" w:cs="仿宋"/>
          <w:color w:val="auto"/>
          <w:sz w:val="30"/>
          <w:szCs w:val="30"/>
          <w:highlight w:val="none"/>
          <w:lang w:val="en-US" w:eastAsia="zh-CN"/>
        </w:rPr>
      </w:pPr>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both"/>
        <w:textAlignment w:val="baseline"/>
        <w:rPr>
          <w:rFonts w:hint="default" w:ascii="仿宋" w:hAnsi="仿宋" w:eastAsia="仿宋" w:cs="仿宋"/>
          <w:color w:val="auto"/>
          <w:sz w:val="30"/>
          <w:szCs w:val="30"/>
          <w:highlight w:val="none"/>
          <w:lang w:val="en-US" w:eastAsia="zh-CN"/>
        </w:rPr>
      </w:pPr>
    </w:p>
    <w:sectPr>
      <w:pgSz w:w="16838" w:h="11906" w:orient="landscape"/>
      <w:pgMar w:top="1134" w:right="850" w:bottom="1134" w:left="1134" w:header="851" w:footer="992" w:gutter="0"/>
      <w:pgBorders>
        <w:top w:val="none" w:sz="0" w:space="0"/>
        <w:left w:val="none" w:sz="0" w:space="0"/>
        <w:bottom w:val="none" w:sz="0" w:space="0"/>
        <w:right w:val="none" w:sz="0" w:space="0"/>
      </w:pgBorders>
      <w:pgNumType w:start="1"/>
      <w:cols w:space="0" w:num="1"/>
      <w:rtlGutter w:val="0"/>
      <w:docGrid w:type="lines" w:linePitch="321"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moder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MS UI Gothic">
    <w:panose1 w:val="020B0600070205080204"/>
    <w:charset w:val="80"/>
    <w:family w:val="swiss"/>
    <w:pitch w:val="default"/>
    <w:sig w:usb0="E00002FF" w:usb1="6AC7FDFB" w:usb2="08000012" w:usb3="00000000" w:csb0="4002009F" w:csb1="DFD70000"/>
  </w:font>
  <w:font w:name="方正小标宋简体">
    <w:altName w:val="黑体"/>
    <w:panose1 w:val="03000509000000000000"/>
    <w:charset w:val="86"/>
    <w:family w:val="script"/>
    <w:pitch w:val="default"/>
    <w:sig w:usb0="00000000" w:usb1="00000000" w:usb2="00000010" w:usb3="00000000" w:csb0="00040000" w:csb1="00000000"/>
  </w:font>
  <w:font w:name="仿宋_GB2312">
    <w:panose1 w:val="02010609030101010101"/>
    <w:charset w:val="86"/>
    <w:family w:val="modern"/>
    <w:pitch w:val="default"/>
    <w:sig w:usb0="00000001" w:usb1="080E0000" w:usb2="00000000" w:usb3="00000000" w:csb0="00040000" w:csb1="00000000"/>
  </w:font>
  <w:font w:name="Cambria">
    <w:panose1 w:val="02040503050406030204"/>
    <w:charset w:val="00"/>
    <w:family w:val="roman"/>
    <w:pitch w:val="default"/>
    <w:sig w:usb0="E00006FF" w:usb1="420024FF" w:usb2="02000000" w:usb3="00000000" w:csb0="2000019F" w:csb1="00000000"/>
  </w:font>
  <w:font w:name="楷体_GB2312">
    <w:altName w:val="楷体"/>
    <w:panose1 w:val="00000000000000000000"/>
    <w:charset w:val="00"/>
    <w:family w:val="auto"/>
    <w:pitch w:val="default"/>
    <w:sig w:usb0="00000000" w:usb1="00000000" w:usb2="00000000"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jc w:val="center"/>
      <w:rPr>
        <w:rFonts w:hint="default" w:eastAsia="宋体"/>
        <w:lang w:val="en-US" w:eastAsia="zh-CN"/>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ind w:firstLine="360"/>
      <w:jc w:val="center"/>
      <w:rPr>
        <w:rFonts w:hint="default" w:eastAsia="宋体"/>
        <w:lang w:val="en-US" w:eastAsia="zh-CN"/>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7"/>
                          </w:pPr>
                          <w:r>
                            <w:fldChar w:fldCharType="begin"/>
                          </w:r>
                          <w:r>
                            <w:instrText xml:space="preserve"> PAGE  \* MERGEFORMAT </w:instrText>
                          </w:r>
                          <w:r>
                            <w:fldChar w:fldCharType="separate"/>
                          </w:r>
                          <w:r>
                            <w:t>3</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p>
                    <w:pPr>
                      <w:pStyle w:val="7"/>
                    </w:pPr>
                    <w:r>
                      <w:fldChar w:fldCharType="begin"/>
                    </w:r>
                    <w:r>
                      <w:instrText xml:space="preserve"> PAGE  \* MERGEFORMAT </w:instrText>
                    </w:r>
                    <w:r>
                      <w:fldChar w:fldCharType="separate"/>
                    </w:r>
                    <w:r>
                      <w:t>3</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59FBD96"/>
    <w:multiLevelType w:val="singleLevel"/>
    <w:tmpl w:val="B59FBD96"/>
    <w:lvl w:ilvl="0" w:tentative="0">
      <w:start w:val="2"/>
      <w:numFmt w:val="chineseCounting"/>
      <w:suff w:val="space"/>
      <w:lvlText w:val="（%1）"/>
      <w:lvlJc w:val="left"/>
      <w:rPr>
        <w:rFonts w:hint="eastAsia"/>
      </w:rPr>
    </w:lvl>
  </w:abstractNum>
  <w:abstractNum w:abstractNumId="1">
    <w:nsid w:val="EAEEB437"/>
    <w:multiLevelType w:val="singleLevel"/>
    <w:tmpl w:val="EAEEB437"/>
    <w:lvl w:ilvl="0" w:tentative="0">
      <w:start w:val="5"/>
      <w:numFmt w:val="decimal"/>
      <w:suff w:val="nothing"/>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60"/>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M4NDYxNjJmZDUxYjQ4MDk4ODQ5YTBkZWVhMGFkY2YifQ=="/>
  </w:docVars>
  <w:rsids>
    <w:rsidRoot w:val="00000000"/>
    <w:rsid w:val="00637169"/>
    <w:rsid w:val="017639FF"/>
    <w:rsid w:val="01FA7000"/>
    <w:rsid w:val="020C713B"/>
    <w:rsid w:val="0220306D"/>
    <w:rsid w:val="024D6D1F"/>
    <w:rsid w:val="02593AE0"/>
    <w:rsid w:val="0280468F"/>
    <w:rsid w:val="03586046"/>
    <w:rsid w:val="03A13CA7"/>
    <w:rsid w:val="04AA4594"/>
    <w:rsid w:val="04D05CEB"/>
    <w:rsid w:val="06125D86"/>
    <w:rsid w:val="064E49D8"/>
    <w:rsid w:val="06763F04"/>
    <w:rsid w:val="0A1D35E4"/>
    <w:rsid w:val="0ADD2F10"/>
    <w:rsid w:val="0B1E17C2"/>
    <w:rsid w:val="0C315C81"/>
    <w:rsid w:val="0CB44363"/>
    <w:rsid w:val="0D7C256C"/>
    <w:rsid w:val="0DFE7425"/>
    <w:rsid w:val="0FAC44FE"/>
    <w:rsid w:val="10264A11"/>
    <w:rsid w:val="11C512D6"/>
    <w:rsid w:val="12045226"/>
    <w:rsid w:val="13700EA7"/>
    <w:rsid w:val="13915B88"/>
    <w:rsid w:val="159C4D1D"/>
    <w:rsid w:val="15DB3F06"/>
    <w:rsid w:val="15DF5D8E"/>
    <w:rsid w:val="16E536E2"/>
    <w:rsid w:val="16F52B09"/>
    <w:rsid w:val="18565FD8"/>
    <w:rsid w:val="18574301"/>
    <w:rsid w:val="18800E19"/>
    <w:rsid w:val="189A5F9C"/>
    <w:rsid w:val="18AA76A7"/>
    <w:rsid w:val="196445D8"/>
    <w:rsid w:val="19F56D6E"/>
    <w:rsid w:val="1A350834"/>
    <w:rsid w:val="1A6D5BC3"/>
    <w:rsid w:val="1A7E224F"/>
    <w:rsid w:val="1A817493"/>
    <w:rsid w:val="1ABD143B"/>
    <w:rsid w:val="1BD702B9"/>
    <w:rsid w:val="1BE0016A"/>
    <w:rsid w:val="1E1107A1"/>
    <w:rsid w:val="1EEA3FB9"/>
    <w:rsid w:val="200D5E5A"/>
    <w:rsid w:val="2038020F"/>
    <w:rsid w:val="20C1159E"/>
    <w:rsid w:val="20C74855"/>
    <w:rsid w:val="210B5C89"/>
    <w:rsid w:val="219B3DF5"/>
    <w:rsid w:val="23C67357"/>
    <w:rsid w:val="24004C6F"/>
    <w:rsid w:val="250768CC"/>
    <w:rsid w:val="25ED3ADD"/>
    <w:rsid w:val="2693085E"/>
    <w:rsid w:val="27D13E32"/>
    <w:rsid w:val="27E92ABB"/>
    <w:rsid w:val="28C42218"/>
    <w:rsid w:val="29424212"/>
    <w:rsid w:val="29624D1D"/>
    <w:rsid w:val="29AE151A"/>
    <w:rsid w:val="2A3A313B"/>
    <w:rsid w:val="2AA91C67"/>
    <w:rsid w:val="2BFE4699"/>
    <w:rsid w:val="2CB317B2"/>
    <w:rsid w:val="2CE1441B"/>
    <w:rsid w:val="2D5438B1"/>
    <w:rsid w:val="2DC25663"/>
    <w:rsid w:val="2F662C24"/>
    <w:rsid w:val="30E27C07"/>
    <w:rsid w:val="31CD0E0A"/>
    <w:rsid w:val="32D3237F"/>
    <w:rsid w:val="336943BF"/>
    <w:rsid w:val="337E053C"/>
    <w:rsid w:val="339C7CFA"/>
    <w:rsid w:val="33A904FB"/>
    <w:rsid w:val="33B10278"/>
    <w:rsid w:val="3402160E"/>
    <w:rsid w:val="34A73486"/>
    <w:rsid w:val="34F42306"/>
    <w:rsid w:val="34FB4C38"/>
    <w:rsid w:val="35476AA5"/>
    <w:rsid w:val="359E6C74"/>
    <w:rsid w:val="35D25479"/>
    <w:rsid w:val="36757C23"/>
    <w:rsid w:val="38651CCB"/>
    <w:rsid w:val="38BA2208"/>
    <w:rsid w:val="38DE4F1D"/>
    <w:rsid w:val="38FD348B"/>
    <w:rsid w:val="39150A96"/>
    <w:rsid w:val="39BA5707"/>
    <w:rsid w:val="3A1B1BF9"/>
    <w:rsid w:val="3A816BFF"/>
    <w:rsid w:val="3A8A3D59"/>
    <w:rsid w:val="3A923681"/>
    <w:rsid w:val="3B0C1015"/>
    <w:rsid w:val="3BB37520"/>
    <w:rsid w:val="3CBD0FE1"/>
    <w:rsid w:val="3D7309E6"/>
    <w:rsid w:val="3DBE7C11"/>
    <w:rsid w:val="3E7C5B7E"/>
    <w:rsid w:val="3E970704"/>
    <w:rsid w:val="3EA76EC6"/>
    <w:rsid w:val="3FD85478"/>
    <w:rsid w:val="41B04763"/>
    <w:rsid w:val="4484797D"/>
    <w:rsid w:val="44AE4731"/>
    <w:rsid w:val="45352A25"/>
    <w:rsid w:val="47061F31"/>
    <w:rsid w:val="487F30BA"/>
    <w:rsid w:val="48AA7E34"/>
    <w:rsid w:val="48F24FC2"/>
    <w:rsid w:val="494C6762"/>
    <w:rsid w:val="4AD444B7"/>
    <w:rsid w:val="4B3A6D67"/>
    <w:rsid w:val="4B612D81"/>
    <w:rsid w:val="4B7472FA"/>
    <w:rsid w:val="4B9E2CD8"/>
    <w:rsid w:val="4CD6689C"/>
    <w:rsid w:val="4D442D67"/>
    <w:rsid w:val="4E5B174E"/>
    <w:rsid w:val="4EBF641E"/>
    <w:rsid w:val="4F444278"/>
    <w:rsid w:val="502E6A7F"/>
    <w:rsid w:val="50377EEC"/>
    <w:rsid w:val="50915E28"/>
    <w:rsid w:val="50CE69A3"/>
    <w:rsid w:val="50F96FFC"/>
    <w:rsid w:val="5176675F"/>
    <w:rsid w:val="517D59F9"/>
    <w:rsid w:val="51C92E73"/>
    <w:rsid w:val="522D3F86"/>
    <w:rsid w:val="523F3361"/>
    <w:rsid w:val="528C0FB8"/>
    <w:rsid w:val="5299005C"/>
    <w:rsid w:val="53364E8A"/>
    <w:rsid w:val="535B6DFC"/>
    <w:rsid w:val="537457EA"/>
    <w:rsid w:val="543C6B1A"/>
    <w:rsid w:val="55523113"/>
    <w:rsid w:val="555F42EB"/>
    <w:rsid w:val="55617D13"/>
    <w:rsid w:val="568B06F7"/>
    <w:rsid w:val="57BB29B9"/>
    <w:rsid w:val="580E6805"/>
    <w:rsid w:val="5AA32C27"/>
    <w:rsid w:val="5C2607D8"/>
    <w:rsid w:val="5C284E23"/>
    <w:rsid w:val="5C53198B"/>
    <w:rsid w:val="5CFD28FE"/>
    <w:rsid w:val="5D853F47"/>
    <w:rsid w:val="5EB63CA5"/>
    <w:rsid w:val="5F0C25F1"/>
    <w:rsid w:val="5F670679"/>
    <w:rsid w:val="5FF2387F"/>
    <w:rsid w:val="5FFD738A"/>
    <w:rsid w:val="60EE2BBA"/>
    <w:rsid w:val="611D3E2E"/>
    <w:rsid w:val="62863B5C"/>
    <w:rsid w:val="62C17F4F"/>
    <w:rsid w:val="63911317"/>
    <w:rsid w:val="66117BFB"/>
    <w:rsid w:val="66456B14"/>
    <w:rsid w:val="664F676D"/>
    <w:rsid w:val="678A1D5A"/>
    <w:rsid w:val="67D33CC3"/>
    <w:rsid w:val="6977016D"/>
    <w:rsid w:val="69835E19"/>
    <w:rsid w:val="6B065B1F"/>
    <w:rsid w:val="6C0367D5"/>
    <w:rsid w:val="6C6E48EB"/>
    <w:rsid w:val="6D0E2831"/>
    <w:rsid w:val="6D630F95"/>
    <w:rsid w:val="6D973E35"/>
    <w:rsid w:val="6E8027FE"/>
    <w:rsid w:val="6F0D7E04"/>
    <w:rsid w:val="6F467459"/>
    <w:rsid w:val="6FB41021"/>
    <w:rsid w:val="70D72A5F"/>
    <w:rsid w:val="714479C8"/>
    <w:rsid w:val="72E01923"/>
    <w:rsid w:val="73483F22"/>
    <w:rsid w:val="73644352"/>
    <w:rsid w:val="73D6253C"/>
    <w:rsid w:val="747F57EB"/>
    <w:rsid w:val="74806197"/>
    <w:rsid w:val="74CA6887"/>
    <w:rsid w:val="74E719E4"/>
    <w:rsid w:val="74FF4332"/>
    <w:rsid w:val="76F00D49"/>
    <w:rsid w:val="774F285B"/>
    <w:rsid w:val="77B078BD"/>
    <w:rsid w:val="77DA2DE8"/>
    <w:rsid w:val="7816742F"/>
    <w:rsid w:val="786E5746"/>
    <w:rsid w:val="787F4D9F"/>
    <w:rsid w:val="78C0202A"/>
    <w:rsid w:val="78C55892"/>
    <w:rsid w:val="78D715B5"/>
    <w:rsid w:val="79921C19"/>
    <w:rsid w:val="7997722F"/>
    <w:rsid w:val="79EB18FC"/>
    <w:rsid w:val="7A026AFE"/>
    <w:rsid w:val="7A8135BA"/>
    <w:rsid w:val="7B140A2B"/>
    <w:rsid w:val="7B9D7BC9"/>
    <w:rsid w:val="7BE70F0F"/>
    <w:rsid w:val="7C105077"/>
    <w:rsid w:val="7C7E7607"/>
    <w:rsid w:val="7CB53B55"/>
    <w:rsid w:val="7CBD0FFC"/>
    <w:rsid w:val="7D1C7F07"/>
    <w:rsid w:val="7D5C21AC"/>
    <w:rsid w:val="7E0754BE"/>
    <w:rsid w:val="7EAD61F4"/>
    <w:rsid w:val="7F81397C"/>
    <w:rsid w:val="7FFE578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iPriority="39" w:semiHidden="0" w:name="toc 1"/>
    <w:lsdException w:qFormat="1"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rPr>
  </w:style>
  <w:style w:type="paragraph" w:styleId="2">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paragraph" w:styleId="3">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14">
    <w:name w:val="Default Paragraph Font"/>
    <w:semiHidden/>
    <w:qFormat/>
    <w:uiPriority w:val="0"/>
  </w:style>
  <w:style w:type="table" w:default="1" w:styleId="13">
    <w:name w:val="Normal Table"/>
    <w:semiHidden/>
    <w:qFormat/>
    <w:uiPriority w:val="0"/>
    <w:tblPr>
      <w:tblCellMar>
        <w:top w:w="0" w:type="dxa"/>
        <w:left w:w="108" w:type="dxa"/>
        <w:bottom w:w="0" w:type="dxa"/>
        <w:right w:w="108" w:type="dxa"/>
      </w:tblCellMar>
    </w:tblPr>
  </w:style>
  <w:style w:type="paragraph" w:styleId="4">
    <w:name w:val="Body Text"/>
    <w:basedOn w:val="1"/>
    <w:next w:val="5"/>
    <w:qFormat/>
    <w:uiPriority w:val="1"/>
    <w:rPr>
      <w:rFonts w:ascii="仿宋" w:hAnsi="仿宋" w:eastAsia="仿宋" w:cs="仿宋"/>
      <w:sz w:val="32"/>
      <w:szCs w:val="32"/>
      <w:lang w:val="zh-CN" w:eastAsia="zh-CN" w:bidi="zh-CN"/>
    </w:rPr>
  </w:style>
  <w:style w:type="paragraph" w:customStyle="1" w:styleId="5">
    <w:name w:val="正文首行缩进1"/>
    <w:basedOn w:val="1"/>
    <w:qFormat/>
    <w:uiPriority w:val="0"/>
    <w:pPr>
      <w:widowControl w:val="0"/>
      <w:spacing w:after="120"/>
      <w:ind w:firstLine="420" w:firstLineChars="100"/>
      <w:jc w:val="both"/>
    </w:pPr>
    <w:rPr>
      <w:rFonts w:hint="eastAsia"/>
      <w:kern w:val="2"/>
      <w:sz w:val="21"/>
      <w:szCs w:val="20"/>
    </w:rPr>
  </w:style>
  <w:style w:type="paragraph" w:styleId="6">
    <w:name w:val="Body Text Indent"/>
    <w:basedOn w:val="1"/>
    <w:qFormat/>
    <w:uiPriority w:val="0"/>
    <w:pPr>
      <w:spacing w:after="120"/>
      <w:ind w:left="420" w:leftChars="200"/>
    </w:pPr>
  </w:style>
  <w:style w:type="paragraph" w:styleId="7">
    <w:name w:val="footer"/>
    <w:basedOn w:val="1"/>
    <w:qFormat/>
    <w:uiPriority w:val="0"/>
    <w:pPr>
      <w:tabs>
        <w:tab w:val="center" w:pos="4153"/>
        <w:tab w:val="right" w:pos="8306"/>
      </w:tabs>
      <w:snapToGrid w:val="0"/>
      <w:jc w:val="left"/>
    </w:pPr>
    <w:rPr>
      <w:sz w:val="18"/>
    </w:rPr>
  </w:style>
  <w:style w:type="paragraph" w:styleId="8">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9">
    <w:name w:val="toc 1"/>
    <w:basedOn w:val="1"/>
    <w:next w:val="1"/>
    <w:unhideWhenUsed/>
    <w:qFormat/>
    <w:uiPriority w:val="39"/>
    <w:pPr>
      <w:tabs>
        <w:tab w:val="right" w:leader="dot" w:pos="8948"/>
      </w:tabs>
      <w:spacing w:line="440" w:lineRule="exact"/>
    </w:pPr>
  </w:style>
  <w:style w:type="paragraph" w:styleId="10">
    <w:name w:val="toc 2"/>
    <w:basedOn w:val="1"/>
    <w:next w:val="1"/>
    <w:unhideWhenUsed/>
    <w:qFormat/>
    <w:uiPriority w:val="39"/>
    <w:pPr>
      <w:tabs>
        <w:tab w:val="right" w:leader="dot" w:pos="8948"/>
      </w:tabs>
      <w:spacing w:line="360" w:lineRule="auto"/>
      <w:ind w:left="420" w:leftChars="200"/>
    </w:pPr>
  </w:style>
  <w:style w:type="paragraph" w:styleId="11">
    <w:name w:val="Normal (Web)"/>
    <w:basedOn w:val="1"/>
    <w:qFormat/>
    <w:uiPriority w:val="0"/>
    <w:pPr>
      <w:spacing w:before="0" w:beforeAutospacing="1" w:after="0" w:afterAutospacing="1"/>
      <w:ind w:left="0" w:right="0"/>
      <w:jc w:val="left"/>
    </w:pPr>
    <w:rPr>
      <w:kern w:val="0"/>
      <w:sz w:val="24"/>
      <w:lang w:val="en-US" w:eastAsia="zh-CN" w:bidi="ar"/>
    </w:rPr>
  </w:style>
  <w:style w:type="paragraph" w:styleId="12">
    <w:name w:val="Body Text First Indent 2"/>
    <w:basedOn w:val="6"/>
    <w:unhideWhenUsed/>
    <w:qFormat/>
    <w:uiPriority w:val="0"/>
    <w:pPr>
      <w:ind w:firstLine="420"/>
    </w:pPr>
    <w:rPr>
      <w:rFonts w:ascii="Calibri" w:hAnsi="Calibri"/>
    </w:rPr>
  </w:style>
  <w:style w:type="table" w:customStyle="1" w:styleId="15">
    <w:name w:val="Table Normal"/>
    <w:semiHidden/>
    <w:unhideWhenUsed/>
    <w:qFormat/>
    <w:uiPriority w:val="0"/>
    <w:tblPr>
      <w:tblCellMar>
        <w:top w:w="0" w:type="dxa"/>
        <w:left w:w="0" w:type="dxa"/>
        <w:bottom w:w="0" w:type="dxa"/>
        <w:right w:w="0" w:type="dxa"/>
      </w:tblCellMar>
    </w:tblPr>
  </w:style>
  <w:style w:type="paragraph" w:customStyle="1" w:styleId="16">
    <w:name w:val="正文1"/>
    <w:basedOn w:val="1"/>
    <w:qFormat/>
    <w:uiPriority w:val="0"/>
    <w:pPr>
      <w:spacing w:line="480" w:lineRule="auto"/>
      <w:ind w:firstLine="200" w:firstLineChars="200"/>
    </w:pPr>
    <w:rPr>
      <w:rFonts w:eastAsia="仿宋"/>
    </w:rPr>
  </w:style>
  <w:style w:type="character" w:customStyle="1" w:styleId="17">
    <w:name w:val="font21"/>
    <w:basedOn w:val="14"/>
    <w:uiPriority w:val="0"/>
    <w:rPr>
      <w:rFonts w:hint="eastAsia" w:ascii="宋体" w:hAnsi="宋体" w:eastAsia="宋体" w:cs="宋体"/>
      <w:b/>
      <w:bCs/>
      <w:color w:val="000000"/>
      <w:sz w:val="20"/>
      <w:szCs w:val="20"/>
      <w:u w:val="none"/>
    </w:rPr>
  </w:style>
  <w:style w:type="character" w:customStyle="1" w:styleId="18">
    <w:name w:val="font31"/>
    <w:basedOn w:val="14"/>
    <w:uiPriority w:val="0"/>
    <w:rPr>
      <w:rFonts w:hint="eastAsia" w:ascii="宋体" w:hAnsi="宋体" w:eastAsia="宋体" w:cs="宋体"/>
      <w:color w:val="000000"/>
      <w:sz w:val="20"/>
      <w:szCs w:val="20"/>
      <w:u w:val="none"/>
    </w:rPr>
  </w:style>
  <w:style w:type="character" w:customStyle="1" w:styleId="19">
    <w:name w:val="font41"/>
    <w:basedOn w:val="14"/>
    <w:qFormat/>
    <w:uiPriority w:val="0"/>
    <w:rPr>
      <w:rFonts w:hint="default" w:ascii="Times New Roman" w:hAnsi="Times New Roman" w:cs="Times New Roman"/>
      <w:color w:val="000000"/>
      <w:sz w:val="20"/>
      <w:szCs w:val="20"/>
      <w:u w:val="none"/>
    </w:rPr>
  </w:style>
  <w:style w:type="character" w:customStyle="1" w:styleId="20">
    <w:name w:val="font71"/>
    <w:basedOn w:val="14"/>
    <w:uiPriority w:val="0"/>
    <w:rPr>
      <w:rFonts w:ascii="Arial" w:hAnsi="Arial" w:cs="Arial"/>
      <w:color w:val="000000"/>
      <w:sz w:val="20"/>
      <w:szCs w:val="20"/>
      <w:u w:val="none"/>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header" Target="header2.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theme" Target="theme/theme1.xml"/><Relationship Id="rId10" Type="http://schemas.openxmlformats.org/officeDocument/2006/relationships/footer" Target="footer4.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23</Pages>
  <Words>11468</Words>
  <Characters>12398</Characters>
  <Lines>0</Lines>
  <Paragraphs>0</Paragraphs>
  <TotalTime>16</TotalTime>
  <ScaleCrop>false</ScaleCrop>
  <LinksUpToDate>false</LinksUpToDate>
  <CharactersWithSpaces>12894</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2021-10-25T07:05:00Z</dcterms:created>
  <dc:creator>lenovo</dc:creator>
  <cp:lastModifiedBy>Administrator</cp:lastModifiedBy>
  <cp:lastPrinted>2023-08-14T02:04:00Z</cp:lastPrinted>
  <dcterms:modified xsi:type="dcterms:W3CDTF">2023-12-13T01:10:54Z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ACB55FB732074E55BFED28AC3006361F</vt:lpwstr>
  </property>
</Properties>
</file>