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9"/>
        <w:tblW w:w="10600" w:type="dxa"/>
        <w:jc w:val="center"/>
        <w:tblInd w:w="0" w:type="dxa"/>
        <w:tblLayout w:type="fixed"/>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Layout w:type="fixed"/>
          <w:tblCellMar>
            <w:top w:w="0" w:type="dxa"/>
            <w:left w:w="10" w:type="dxa"/>
            <w:bottom w:w="0" w:type="dxa"/>
            <w:right w:w="10" w:type="dxa"/>
          </w:tblCellMar>
        </w:tblPrEx>
        <w:trPr>
          <w:tblHeader/>
          <w:jc w:val="center"/>
        </w:trPr>
        <w:tc>
          <w:tcPr>
            <w:tcW w:w="5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Layout w:type="fixed"/>
          <w:tblCellMar>
            <w:top w:w="0" w:type="dxa"/>
            <w:left w:w="10" w:type="dxa"/>
            <w:bottom w:w="0" w:type="dxa"/>
            <w:right w:w="10" w:type="dxa"/>
          </w:tblCellMar>
        </w:tblPrEx>
        <w:trPr>
          <w:trHeight w:val="1814" w:hRule="atLeast"/>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35"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5</w:t>
            </w: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5</w:t>
            </w:r>
            <w:r>
              <w:rPr>
                <w:rFonts w:ascii="仿宋" w:eastAsia="仿宋"/>
                <w:sz w:val="24"/>
                <w:szCs w:val="24"/>
              </w:rPr>
              <w:t>　</w:t>
            </w:r>
          </w:p>
        </w:tc>
      </w:tr>
      <w:tr>
        <w:tblPrEx>
          <w:tblLayout w:type="fixed"/>
          <w:tblCellMar>
            <w:top w:w="0" w:type="dxa"/>
            <w:left w:w="10" w:type="dxa"/>
            <w:bottom w:w="0" w:type="dxa"/>
            <w:right w:w="10" w:type="dxa"/>
          </w:tblCellMar>
        </w:tblPrEx>
        <w:trPr>
          <w:trHeight w:val="12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4</w:t>
            </w:r>
          </w:p>
        </w:tc>
      </w:tr>
      <w:tr>
        <w:tblPrEx>
          <w:tblLayout w:type="fixed"/>
          <w:tblCellMar>
            <w:top w:w="0" w:type="dxa"/>
            <w:left w:w="10" w:type="dxa"/>
            <w:bottom w:w="0" w:type="dxa"/>
            <w:right w:w="10" w:type="dxa"/>
          </w:tblCellMar>
        </w:tblPrEx>
        <w:trPr>
          <w:trHeight w:val="1325"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trHeight w:val="154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trHeight w:val="1562"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trHeight w:val="10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7</w:t>
            </w:r>
          </w:p>
        </w:tc>
      </w:tr>
      <w:tr>
        <w:tblPrEx>
          <w:tblLayout w:type="fixed"/>
          <w:tblCellMar>
            <w:top w:w="0" w:type="dxa"/>
            <w:left w:w="10" w:type="dxa"/>
            <w:bottom w:w="0" w:type="dxa"/>
            <w:right w:w="10" w:type="dxa"/>
          </w:tblCellMar>
        </w:tblPrEx>
        <w:trPr>
          <w:trHeight w:val="918"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jc w:val="center"/>
        </w:trPr>
        <w:tc>
          <w:tcPr>
            <w:tcW w:w="517"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7</w:t>
            </w:r>
            <w:r>
              <w:rPr>
                <w:rFonts w:ascii="仿宋" w:eastAsia="仿宋"/>
                <w:sz w:val="24"/>
                <w:szCs w:val="24"/>
              </w:rPr>
              <w:t>　</w:t>
            </w:r>
          </w:p>
        </w:tc>
      </w:tr>
      <w:tr>
        <w:tblPrEx>
          <w:tblLayout w:type="fixed"/>
          <w:tblCellMar>
            <w:top w:w="0" w:type="dxa"/>
            <w:left w:w="10" w:type="dxa"/>
            <w:bottom w:w="0" w:type="dxa"/>
            <w:right w:w="10" w:type="dxa"/>
          </w:tblCellMar>
        </w:tblPrEx>
        <w:trPr>
          <w:trHeight w:val="3936"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8</w:t>
            </w: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07"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6407"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6</w:t>
            </w:r>
            <w:r>
              <w:rPr>
                <w:rFonts w:ascii="仿宋" w:eastAsia="仿宋"/>
                <w:sz w:val="24"/>
                <w:szCs w:val="24"/>
              </w:rPr>
              <w:t>　</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9"/>
        <w:tblW w:w="10339" w:type="dxa"/>
        <w:jc w:val="center"/>
        <w:tblInd w:w="0" w:type="dxa"/>
        <w:tblLayout w:type="fixed"/>
        <w:tblCellMar>
          <w:top w:w="0" w:type="dxa"/>
          <w:left w:w="10" w:type="dxa"/>
          <w:bottom w:w="0" w:type="dxa"/>
          <w:right w:w="10" w:type="dxa"/>
        </w:tblCellMar>
      </w:tblPr>
      <w:tblGrid>
        <w:gridCol w:w="3550"/>
        <w:gridCol w:w="1190"/>
        <w:gridCol w:w="1170"/>
        <w:gridCol w:w="1130"/>
        <w:gridCol w:w="1465"/>
        <w:gridCol w:w="970"/>
        <w:gridCol w:w="864"/>
      </w:tblGrid>
      <w:tr>
        <w:tblPrEx>
          <w:tblLayout w:type="fixed"/>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Layout w:type="fixed"/>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94</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94</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100%</w:t>
            </w: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69.1</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110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29.76</w:t>
            </w:r>
            <w:r>
              <w:rPr>
                <w:rFonts w:ascii="仿宋" w:eastAsia="仿宋"/>
                <w:sz w:val="24"/>
              </w:rPr>
              <w:t>　</w:t>
            </w:r>
          </w:p>
        </w:tc>
      </w:tr>
      <w:tr>
        <w:tblPrEx>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20.92</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r>
              <w:rPr>
                <w:rFonts w:hint="eastAsia" w:ascii="仿宋" w:eastAsia="仿宋"/>
                <w:sz w:val="24"/>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20.92</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17.8</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 xml:space="preserve">  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rPr>
              <w:t xml:space="preserve"> </w:t>
            </w:r>
            <w:r>
              <w:rPr>
                <w:rFonts w:hint="eastAsia" w:ascii="仿宋" w:eastAsia="仿宋"/>
                <w:sz w:val="24"/>
                <w:lang w:val="en-US" w:eastAsia="zh-CN"/>
              </w:rPr>
              <w:t>48.18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90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11.96</w:t>
            </w:r>
            <w:r>
              <w:rPr>
                <w:rFonts w:ascii="仿宋" w:eastAsia="仿宋"/>
                <w:sz w:val="24"/>
              </w:rPr>
              <w:t>　</w:t>
            </w:r>
          </w:p>
        </w:tc>
      </w:tr>
      <w:tr>
        <w:tblPrEx>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284.22</w:t>
            </w:r>
            <w:r>
              <w:rPr>
                <w:rFonts w:hint="eastAsia" w:ascii="仿宋" w:eastAsia="仿宋"/>
                <w:sz w:val="24"/>
              </w:rPr>
              <w:t xml:space="preserve">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1544.17</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1035.62</w:t>
            </w: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1288.5</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211.2</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1570.65</w:t>
            </w:r>
            <w:r>
              <w:rPr>
                <w:rFonts w:ascii="仿宋" w:eastAsia="仿宋"/>
                <w:sz w:val="24"/>
              </w:rPr>
              <w:t>　</w:t>
            </w:r>
          </w:p>
        </w:tc>
      </w:tr>
      <w:tr>
        <w:tblPrEx>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449.26</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176.2</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498.16</w:t>
            </w:r>
            <w:r>
              <w:rPr>
                <w:rFonts w:ascii="仿宋" w:eastAsia="仿宋"/>
                <w:color w:val="FF0000"/>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90.63</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eastAsia="zh-CN"/>
              </w:rPr>
            </w:pPr>
            <w:r>
              <w:rPr>
                <w:rFonts w:hint="eastAsia" w:ascii="仿宋" w:eastAsia="仿宋"/>
                <w:color w:val="FF0000"/>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96</w:t>
            </w:r>
            <w:r>
              <w:rPr>
                <w:rFonts w:ascii="仿宋" w:eastAsia="仿宋"/>
                <w:color w:val="FF0000"/>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0.33</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5</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1.58</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80.11</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Layout w:type="fixed"/>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9"/>
        <w:tblW w:w="10047" w:type="dxa"/>
        <w:jc w:val="center"/>
        <w:tblInd w:w="0" w:type="dxa"/>
        <w:tblLayout w:type="fixed"/>
        <w:tblCellMar>
          <w:top w:w="0" w:type="dxa"/>
          <w:left w:w="10" w:type="dxa"/>
          <w:bottom w:w="0" w:type="dxa"/>
          <w:right w:w="10" w:type="dxa"/>
        </w:tblCellMar>
      </w:tblPr>
      <w:tblGrid>
        <w:gridCol w:w="740"/>
        <w:gridCol w:w="804"/>
        <w:gridCol w:w="1056"/>
        <w:gridCol w:w="2465"/>
        <w:gridCol w:w="4364"/>
        <w:gridCol w:w="618"/>
      </w:tblGrid>
      <w:tr>
        <w:tblPrEx>
          <w:tblLayout w:type="fixed"/>
          <w:tblCellMar>
            <w:top w:w="0" w:type="dxa"/>
            <w:left w:w="10" w:type="dxa"/>
            <w:bottom w:w="0" w:type="dxa"/>
            <w:right w:w="10" w:type="dxa"/>
          </w:tblCellMar>
        </w:tblPrEx>
        <w:trPr>
          <w:trHeight w:val="248" w:hRule="atLeast"/>
          <w:tblHeader/>
          <w:jc w:val="center"/>
        </w:trPr>
        <w:tc>
          <w:tcPr>
            <w:tcW w:w="740"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Layout w:type="fixed"/>
          <w:tblCellMar>
            <w:top w:w="0" w:type="dxa"/>
            <w:left w:w="10" w:type="dxa"/>
            <w:bottom w:w="0" w:type="dxa"/>
            <w:right w:w="10" w:type="dxa"/>
          </w:tblCellMar>
        </w:tblPrEx>
        <w:trPr>
          <w:trHeight w:val="380" w:hRule="atLeast"/>
          <w:tblHeader/>
          <w:jc w:val="center"/>
        </w:trPr>
        <w:tc>
          <w:tcPr>
            <w:tcW w:w="74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trHeight w:val="764"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trHeight w:val="254" w:hRule="atLeast"/>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6</w:t>
            </w:r>
          </w:p>
        </w:tc>
      </w:tr>
      <w:tr>
        <w:tblPrEx>
          <w:tblLayout w:type="fixed"/>
          <w:tblCellMar>
            <w:top w:w="0" w:type="dxa"/>
            <w:left w:w="10" w:type="dxa"/>
            <w:bottom w:w="0" w:type="dxa"/>
            <w:right w:w="10" w:type="dxa"/>
          </w:tblCellMar>
        </w:tblPrEx>
        <w:trPr>
          <w:trHeight w:val="836"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trHeight w:val="463"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ascii="仿宋" w:eastAsia="仿宋"/>
                <w:sz w:val="24"/>
                <w:szCs w:val="24"/>
              </w:rPr>
            </w:pP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ascii="仿宋" w:eastAsia="仿宋"/>
                <w:sz w:val="24"/>
                <w:szCs w:val="24"/>
              </w:rPr>
            </w:pPr>
            <w:r>
              <w:rPr>
                <w:rFonts w:hint="eastAsia" w:ascii="仿宋" w:eastAsia="仿宋"/>
                <w:sz w:val="24"/>
                <w:szCs w:val="24"/>
              </w:rPr>
              <w:t>9.8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trHeight w:val="707"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trHeight w:val="641"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trHeight w:val="1121" w:hRule="exac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hint="eastAsia"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p>
        </w:tc>
        <w:tc>
          <w:tcPr>
            <w:tcW w:w="618" w:type="dxa"/>
            <w:tcBorders>
              <w:left w:val="single" w:color="000000" w:sz="4" w:space="0"/>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r>
              <w:rPr>
                <w:rFonts w:hint="eastAsia"/>
              </w:rPr>
              <w:t>4</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r>
              <w:rPr>
                <w:rFonts w:hint="eastAsia"/>
              </w:rPr>
              <w:t>4</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9</w:t>
            </w:r>
          </w:p>
        </w:tc>
      </w:tr>
    </w:tbl>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r>
        <w:rPr>
          <w:rFonts w:hint="eastAsia" w:ascii="黑体" w:eastAsia="黑体"/>
        </w:rPr>
        <w:t>附件</w:t>
      </w:r>
      <w:r>
        <w:rPr>
          <w:rFonts w:ascii="黑体" w:eastAsia="黑体"/>
        </w:rPr>
        <w:t>4</w:t>
      </w:r>
    </w:p>
    <w:p>
      <w:pPr>
        <w:spacing w:line="580" w:lineRule="exact"/>
        <w:contextualSpacing/>
        <w:jc w:val="center"/>
        <w:rPr>
          <w:rFonts w:hint="eastAsia" w:ascii="方正大标宋简体" w:eastAsia="方正大标宋简体"/>
        </w:rPr>
      </w:pPr>
      <w:r>
        <w:rPr>
          <w:rFonts w:hint="eastAsia" w:ascii="方正大标宋简体" w:eastAsia="方正大标宋简体"/>
          <w:b/>
          <w:bCs/>
          <w:sz w:val="44"/>
          <w:szCs w:val="44"/>
          <w:u w:val="single"/>
        </w:rPr>
        <w:t xml:space="preserve">   2021  </w:t>
      </w:r>
      <w:r>
        <w:rPr>
          <w:rFonts w:hint="eastAsia" w:ascii="方正大标宋简体" w:eastAsia="方正大标宋简体"/>
          <w:b/>
          <w:bCs/>
          <w:sz w:val="44"/>
          <w:szCs w:val="44"/>
        </w:rPr>
        <w:t>年绩效自评报告</w:t>
      </w:r>
    </w:p>
    <w:p>
      <w:pPr>
        <w:spacing w:line="580" w:lineRule="exact"/>
        <w:contextualSpacing/>
      </w:pPr>
    </w:p>
    <w:p>
      <w:pPr>
        <w:spacing w:line="520" w:lineRule="exact"/>
        <w:ind w:firstLine="643" w:firstLineChars="200"/>
        <w:contextualSpacing/>
        <w:rPr>
          <w:rFonts w:hint="eastAsia" w:ascii="仿宋_GB2312"/>
          <w:b/>
          <w:bCs/>
        </w:rPr>
      </w:pPr>
      <w:r>
        <w:rPr>
          <w:rFonts w:hint="eastAsia" w:ascii="仿宋_GB2312"/>
          <w:b/>
          <w:bCs/>
        </w:rPr>
        <w:t>一、机构编制人员情况</w:t>
      </w:r>
    </w:p>
    <w:p>
      <w:pPr>
        <w:spacing w:line="520" w:lineRule="exact"/>
        <w:ind w:firstLine="640" w:firstLineChars="200"/>
        <w:contextualSpacing/>
        <w:rPr>
          <w:rFonts w:hint="eastAsia" w:ascii="仿宋_GB2312"/>
        </w:rPr>
      </w:pPr>
      <w:r>
        <w:rPr>
          <w:rFonts w:hint="eastAsia" w:ascii="仿宋_GB2312"/>
        </w:rPr>
        <w:t>麻阳县政府办内设机构18个，分别为文电室、调纠办、财务后勤室、财税金融办、政工室、督查室、优化办、城建办、值班室、综合室、经调室、信息中心、县长热线办、爱卫办、政务服务中心、驻长办、民兵训练基地、禁毒办。县人民政府办公室总核定编制</w:t>
      </w:r>
      <w:r>
        <w:rPr>
          <w:rFonts w:hint="eastAsia" w:ascii="仿宋_GB2312"/>
          <w:lang w:val="en-US" w:eastAsia="zh-CN"/>
        </w:rPr>
        <w:t>94</w:t>
      </w:r>
      <w:r>
        <w:rPr>
          <w:rFonts w:hint="eastAsia" w:ascii="仿宋_GB2312"/>
        </w:rPr>
        <w:t>人，其中：行政编</w:t>
      </w:r>
      <w:r>
        <w:rPr>
          <w:rFonts w:hint="eastAsia" w:ascii="仿宋_GB2312"/>
          <w:lang w:val="en-US" w:eastAsia="zh-CN"/>
        </w:rPr>
        <w:t>54</w:t>
      </w:r>
      <w:r>
        <w:rPr>
          <w:rFonts w:hint="eastAsia" w:ascii="仿宋_GB2312"/>
        </w:rPr>
        <w:t>人，事业编40人。现实有在职人数</w:t>
      </w:r>
      <w:r>
        <w:rPr>
          <w:rFonts w:hint="eastAsia" w:ascii="仿宋_GB2312"/>
          <w:lang w:val="en-US" w:eastAsia="zh-CN"/>
        </w:rPr>
        <w:t>94</w:t>
      </w:r>
      <w:r>
        <w:rPr>
          <w:rFonts w:hint="eastAsia" w:ascii="仿宋_GB2312"/>
        </w:rPr>
        <w:t>人、退休29人。</w:t>
      </w:r>
    </w:p>
    <w:p>
      <w:pPr>
        <w:numPr>
          <w:ilvl w:val="0"/>
          <w:numId w:val="1"/>
        </w:numPr>
        <w:spacing w:line="520" w:lineRule="exact"/>
        <w:ind w:firstLine="643" w:firstLineChars="200"/>
        <w:contextualSpacing/>
        <w:rPr>
          <w:rFonts w:hint="eastAsia" w:ascii="仿宋_GB2312"/>
          <w:b/>
          <w:bCs/>
        </w:rPr>
      </w:pPr>
      <w:r>
        <w:rPr>
          <w:rFonts w:hint="eastAsia" w:ascii="仿宋_GB2312"/>
          <w:b/>
          <w:bCs/>
        </w:rPr>
        <w:t>单位主要职能与年度绩效目标</w:t>
      </w:r>
    </w:p>
    <w:p>
      <w:pPr>
        <w:numPr>
          <w:numId w:val="0"/>
        </w:numPr>
        <w:spacing w:line="520" w:lineRule="exact"/>
        <w:contextualSpacing/>
        <w:rPr>
          <w:rFonts w:hint="eastAsia" w:ascii="仿宋_GB2312" w:eastAsia="仿宋_GB2312"/>
          <w:b/>
          <w:bCs/>
          <w:lang w:eastAsia="zh-CN"/>
        </w:rPr>
      </w:pPr>
      <w:r>
        <w:rPr>
          <w:rFonts w:hint="eastAsia" w:ascii="仿宋_GB2312"/>
          <w:b/>
          <w:bCs/>
          <w:lang w:eastAsia="zh-CN"/>
        </w:rPr>
        <w:t>（一）单位主要职能</w:t>
      </w:r>
    </w:p>
    <w:p>
      <w:pPr>
        <w:spacing w:line="520" w:lineRule="exact"/>
        <w:ind w:firstLine="640" w:firstLineChars="200"/>
        <w:contextualSpacing/>
        <w:rPr>
          <w:rFonts w:hint="eastAsia" w:ascii="仿宋_GB2312"/>
        </w:rPr>
      </w:pPr>
      <w:r>
        <w:rPr>
          <w:rFonts w:hint="eastAsia" w:ascii="仿宋_GB2312"/>
        </w:rPr>
        <w:t>1、协助县政府领导同志审核或组织起草以县政府、县政府办名义发布的公文。</w:t>
      </w:r>
    </w:p>
    <w:p>
      <w:pPr>
        <w:spacing w:line="520" w:lineRule="exact"/>
        <w:ind w:firstLine="640" w:firstLineChars="200"/>
        <w:contextualSpacing/>
        <w:rPr>
          <w:rFonts w:hint="eastAsia" w:ascii="仿宋_GB2312"/>
        </w:rPr>
      </w:pPr>
      <w:r>
        <w:rPr>
          <w:rFonts w:hint="eastAsia" w:ascii="仿宋_GB2312"/>
        </w:rPr>
        <w:t>2、研究县政府各部门和各乡镇人民政府请示县政府的事项，提出审核处理意见，报县政府领导同志审批。</w:t>
      </w:r>
    </w:p>
    <w:p>
      <w:pPr>
        <w:spacing w:line="520" w:lineRule="exact"/>
        <w:ind w:firstLine="640" w:firstLineChars="200"/>
        <w:contextualSpacing/>
        <w:rPr>
          <w:rFonts w:hint="eastAsia" w:ascii="仿宋_GB2312"/>
        </w:rPr>
      </w:pPr>
      <w:r>
        <w:rPr>
          <w:rFonts w:hint="eastAsia" w:ascii="仿宋_GB2312"/>
        </w:rPr>
        <w:t>3、负责县政府会议的组织和服务工作，协助实施会议决定事项。</w:t>
      </w:r>
    </w:p>
    <w:p>
      <w:pPr>
        <w:spacing w:line="520" w:lineRule="exact"/>
        <w:ind w:firstLine="640" w:firstLineChars="200"/>
        <w:contextualSpacing/>
        <w:rPr>
          <w:rFonts w:hint="eastAsia" w:ascii="仿宋_GB2312"/>
        </w:rPr>
      </w:pPr>
      <w:r>
        <w:rPr>
          <w:rFonts w:hint="eastAsia" w:ascii="仿宋_GB2312"/>
        </w:rPr>
        <w:t>4、根据县政府领导同志的指示或工作需要，对有关问题进行协调，提出处理意见，报县政府领导同志决定。</w:t>
      </w:r>
    </w:p>
    <w:p>
      <w:pPr>
        <w:spacing w:line="520" w:lineRule="exact"/>
        <w:ind w:firstLine="640" w:firstLineChars="200"/>
        <w:contextualSpacing/>
        <w:rPr>
          <w:rFonts w:hint="eastAsia" w:ascii="仿宋_GB2312"/>
        </w:rPr>
      </w:pPr>
      <w:r>
        <w:rPr>
          <w:rFonts w:hint="eastAsia" w:ascii="仿宋_GB2312"/>
        </w:rPr>
        <w:t>5、办理中央、省、市和县政府领导同志的批示，并督促落实。督促检查县政府各部门和各乡镇人民政府对县政府决定事项的执行落实情况，及时向县政府报告。</w:t>
      </w:r>
    </w:p>
    <w:p>
      <w:pPr>
        <w:spacing w:line="520" w:lineRule="exact"/>
        <w:ind w:firstLine="640" w:firstLineChars="200"/>
        <w:contextualSpacing/>
        <w:rPr>
          <w:rFonts w:hint="eastAsia" w:ascii="仿宋_GB2312"/>
        </w:rPr>
      </w:pPr>
      <w:r>
        <w:rPr>
          <w:rFonts w:hint="eastAsia" w:ascii="仿宋_GB2312"/>
        </w:rPr>
        <w:t>6、组织开展人大代表建议、政协提案办理工作。</w:t>
      </w:r>
    </w:p>
    <w:p>
      <w:pPr>
        <w:spacing w:line="520" w:lineRule="exact"/>
        <w:ind w:firstLine="640" w:firstLineChars="200"/>
        <w:contextualSpacing/>
        <w:rPr>
          <w:rFonts w:hint="eastAsia" w:ascii="仿宋_GB2312"/>
        </w:rPr>
      </w:pPr>
      <w:r>
        <w:rPr>
          <w:rFonts w:hint="eastAsia" w:ascii="仿宋_GB2312"/>
        </w:rPr>
        <w:t>7、负责县政府值班工作。</w:t>
      </w:r>
    </w:p>
    <w:p>
      <w:pPr>
        <w:spacing w:line="520" w:lineRule="exact"/>
        <w:ind w:firstLine="640" w:firstLineChars="200"/>
        <w:contextualSpacing/>
        <w:rPr>
          <w:rFonts w:hint="eastAsia" w:ascii="仿宋_GB2312"/>
        </w:rPr>
      </w:pPr>
      <w:r>
        <w:rPr>
          <w:rFonts w:hint="eastAsia" w:ascii="仿宋_GB2312"/>
        </w:rPr>
        <w:t>8、负责财税金融工作的指导和管理。</w:t>
      </w:r>
    </w:p>
    <w:p>
      <w:pPr>
        <w:spacing w:line="520" w:lineRule="exact"/>
        <w:ind w:firstLine="640" w:firstLineChars="200"/>
        <w:contextualSpacing/>
        <w:rPr>
          <w:rFonts w:hint="eastAsia" w:ascii="仿宋_GB2312"/>
        </w:rPr>
      </w:pPr>
      <w:r>
        <w:rPr>
          <w:rFonts w:hint="eastAsia" w:ascii="仿宋_GB2312"/>
        </w:rPr>
        <w:t>9、组织开展人大代表、政协委员及其他群众向县政府所提批评、意见和建议的办理工作。</w:t>
      </w:r>
    </w:p>
    <w:p>
      <w:pPr>
        <w:spacing w:line="520" w:lineRule="exact"/>
        <w:ind w:firstLine="640" w:firstLineChars="200"/>
        <w:contextualSpacing/>
        <w:rPr>
          <w:rFonts w:hint="eastAsia" w:ascii="仿宋_GB2312"/>
        </w:rPr>
      </w:pPr>
      <w:r>
        <w:rPr>
          <w:rFonts w:hint="eastAsia" w:ascii="仿宋_GB2312"/>
        </w:rPr>
        <w:t>10、负责县政府机关的财务和县政府领导用车管理，为县政府领导服务。</w:t>
      </w:r>
    </w:p>
    <w:p>
      <w:pPr>
        <w:spacing w:line="520" w:lineRule="exact"/>
        <w:ind w:firstLine="640" w:firstLineChars="200"/>
        <w:contextualSpacing/>
        <w:rPr>
          <w:rFonts w:hint="eastAsia" w:ascii="仿宋_GB2312"/>
        </w:rPr>
      </w:pPr>
      <w:r>
        <w:rPr>
          <w:rFonts w:hint="eastAsia" w:ascii="仿宋_GB2312"/>
        </w:rPr>
        <w:t>11、归口管理县政府办直属事业单位。</w:t>
      </w:r>
    </w:p>
    <w:p>
      <w:pPr>
        <w:spacing w:line="520" w:lineRule="exact"/>
        <w:ind w:firstLine="640" w:firstLineChars="200"/>
        <w:contextualSpacing/>
        <w:rPr>
          <w:rFonts w:hint="eastAsia" w:ascii="仿宋_GB2312"/>
        </w:rPr>
      </w:pPr>
      <w:r>
        <w:rPr>
          <w:rFonts w:hint="eastAsia" w:ascii="仿宋_GB2312"/>
        </w:rPr>
        <w:t>12、办理县委、县政府领导同志交办的其他事项。</w:t>
      </w:r>
    </w:p>
    <w:p>
      <w:pPr>
        <w:spacing w:line="520" w:lineRule="exact"/>
        <w:contextualSpacing/>
        <w:rPr>
          <w:rFonts w:hint="eastAsia" w:ascii="仿宋_GB2312"/>
        </w:rPr>
      </w:pPr>
      <w:r>
        <w:rPr>
          <w:rFonts w:hint="eastAsia" w:ascii="仿宋_GB2312"/>
        </w:rPr>
        <w:t>（二）年度绩效目标</w:t>
      </w:r>
      <w:r>
        <w:rPr>
          <w:rFonts w:hint="eastAsia" w:ascii="仿宋_GB2312"/>
        </w:rPr>
        <w:tab/>
      </w:r>
    </w:p>
    <w:p>
      <w:pPr>
        <w:spacing w:line="520" w:lineRule="exact"/>
        <w:ind w:firstLine="640" w:firstLineChars="200"/>
        <w:contextualSpacing/>
        <w:rPr>
          <w:rFonts w:hint="eastAsia" w:ascii="仿宋_GB2312"/>
        </w:rPr>
      </w:pPr>
      <w:r>
        <w:rPr>
          <w:rFonts w:hint="eastAsia" w:ascii="仿宋_GB2312"/>
        </w:rPr>
        <w:t>1、搞好信息调研、信息公开及上报工作</w:t>
      </w:r>
    </w:p>
    <w:p>
      <w:pPr>
        <w:spacing w:line="520" w:lineRule="exact"/>
        <w:ind w:firstLine="640" w:firstLineChars="200"/>
        <w:contextualSpacing/>
        <w:rPr>
          <w:rFonts w:hint="eastAsia" w:ascii="仿宋_GB2312"/>
        </w:rPr>
      </w:pPr>
      <w:r>
        <w:rPr>
          <w:rFonts w:hint="eastAsia" w:ascii="仿宋_GB2312"/>
        </w:rPr>
        <w:t>2、落实及督办人大、政协案件</w:t>
      </w:r>
    </w:p>
    <w:p>
      <w:pPr>
        <w:spacing w:line="520" w:lineRule="exact"/>
        <w:ind w:firstLine="640" w:firstLineChars="200"/>
        <w:contextualSpacing/>
        <w:rPr>
          <w:rFonts w:hint="eastAsia" w:ascii="仿宋_GB2312"/>
        </w:rPr>
      </w:pPr>
      <w:r>
        <w:rPr>
          <w:rFonts w:hint="eastAsia" w:ascii="仿宋_GB2312"/>
        </w:rPr>
        <w:t>3、组织和服务好重要会议</w:t>
      </w:r>
    </w:p>
    <w:p>
      <w:pPr>
        <w:spacing w:line="520" w:lineRule="exact"/>
        <w:ind w:firstLine="640" w:firstLineChars="200"/>
        <w:contextualSpacing/>
        <w:rPr>
          <w:rFonts w:hint="eastAsia" w:ascii="仿宋_GB2312"/>
        </w:rPr>
      </w:pPr>
      <w:r>
        <w:rPr>
          <w:rFonts w:hint="eastAsia" w:ascii="仿宋_GB2312"/>
        </w:rPr>
        <w:t>4、组织和处理好应急工作</w:t>
      </w:r>
    </w:p>
    <w:p>
      <w:pPr>
        <w:spacing w:line="520" w:lineRule="exact"/>
        <w:ind w:firstLine="640" w:firstLineChars="200"/>
        <w:contextualSpacing/>
        <w:rPr>
          <w:rFonts w:hint="eastAsia" w:ascii="仿宋_GB2312"/>
        </w:rPr>
      </w:pPr>
      <w:r>
        <w:rPr>
          <w:rFonts w:hint="eastAsia" w:ascii="仿宋_GB2312"/>
        </w:rPr>
        <w:t>5、为领导做好服务工作</w:t>
      </w:r>
    </w:p>
    <w:p>
      <w:pPr>
        <w:spacing w:line="520" w:lineRule="exact"/>
        <w:ind w:firstLine="640" w:firstLineChars="200"/>
        <w:contextualSpacing/>
        <w:rPr>
          <w:rFonts w:hint="eastAsia" w:ascii="仿宋_GB2312"/>
        </w:rPr>
      </w:pPr>
      <w:r>
        <w:rPr>
          <w:rFonts w:hint="eastAsia" w:ascii="仿宋_GB2312"/>
        </w:rPr>
        <w:t>6、领导交办的临时性重大工作</w:t>
      </w:r>
    </w:p>
    <w:p>
      <w:pPr>
        <w:spacing w:line="520" w:lineRule="exact"/>
        <w:ind w:firstLine="640" w:firstLineChars="200"/>
        <w:contextualSpacing/>
        <w:rPr>
          <w:rFonts w:hint="eastAsia" w:ascii="仿宋_GB2312"/>
        </w:rPr>
      </w:pPr>
      <w:r>
        <w:rPr>
          <w:rFonts w:hint="eastAsia" w:ascii="仿宋_GB2312"/>
        </w:rPr>
        <w:t>7、严格执行国家财务制度和财经纪律，合理开支、厉行节约。</w:t>
      </w:r>
    </w:p>
    <w:p>
      <w:pPr>
        <w:spacing w:line="520" w:lineRule="exact"/>
        <w:ind w:firstLine="640" w:firstLineChars="200"/>
        <w:contextualSpacing/>
        <w:rPr>
          <w:rFonts w:hint="eastAsia" w:ascii="仿宋_GB2312"/>
        </w:rPr>
      </w:pPr>
      <w:r>
        <w:rPr>
          <w:rFonts w:hint="eastAsia" w:ascii="仿宋_GB2312"/>
        </w:rPr>
        <w:t>8、严控“三公”经费和行政运行费用开支，确保呈逐年下降趋势。</w:t>
      </w:r>
    </w:p>
    <w:p>
      <w:pPr>
        <w:spacing w:line="520" w:lineRule="exact"/>
        <w:contextualSpacing/>
        <w:rPr>
          <w:rFonts w:hint="eastAsia" w:ascii="仿宋_GB2312"/>
          <w:b/>
          <w:bCs/>
        </w:rPr>
      </w:pPr>
      <w:r>
        <w:rPr>
          <w:rFonts w:hint="eastAsia" w:ascii="仿宋_GB2312"/>
          <w:b/>
          <w:bCs/>
        </w:rPr>
        <w:t>三、年度整体支出及管理情况</w:t>
      </w:r>
    </w:p>
    <w:p>
      <w:pPr>
        <w:numPr>
          <w:ilvl w:val="0"/>
          <w:numId w:val="0"/>
        </w:numPr>
        <w:spacing w:line="560" w:lineRule="exact"/>
        <w:ind w:firstLine="320" w:firstLineChars="100"/>
        <w:jc w:val="both"/>
        <w:rPr>
          <w:rFonts w:hint="eastAsia" w:ascii="仿宋_GB2312" w:cs="Arial"/>
          <w:kern w:val="2"/>
          <w:sz w:val="32"/>
        </w:rPr>
      </w:pPr>
      <w:r>
        <w:rPr>
          <w:rFonts w:hint="eastAsia" w:ascii="仿宋_GB2312" w:cs="Arial"/>
          <w:kern w:val="2"/>
          <w:sz w:val="32"/>
        </w:rPr>
        <w:t>202</w:t>
      </w:r>
      <w:r>
        <w:rPr>
          <w:rFonts w:hint="eastAsia" w:ascii="仿宋_GB2312" w:cs="Arial"/>
          <w:kern w:val="2"/>
          <w:sz w:val="32"/>
          <w:lang w:val="en-US" w:eastAsia="zh-CN"/>
        </w:rPr>
        <w:t>1</w:t>
      </w:r>
      <w:r>
        <w:rPr>
          <w:rFonts w:hint="eastAsia" w:ascii="仿宋_GB2312" w:cs="Arial"/>
          <w:kern w:val="2"/>
          <w:sz w:val="32"/>
        </w:rPr>
        <w:t>年预算总收入</w:t>
      </w:r>
      <w:r>
        <w:rPr>
          <w:rFonts w:hint="eastAsia" w:ascii="仿宋_GB2312" w:cs="Arial"/>
          <w:kern w:val="2"/>
          <w:sz w:val="32"/>
          <w:lang w:val="en-US" w:eastAsia="zh-CN"/>
        </w:rPr>
        <w:t>4491.5</w:t>
      </w:r>
      <w:r>
        <w:rPr>
          <w:rFonts w:hint="eastAsia" w:ascii="仿宋_GB2312" w:cs="Arial"/>
          <w:kern w:val="2"/>
          <w:sz w:val="32"/>
        </w:rPr>
        <w:t>万元，（其中：年初预算安排</w:t>
      </w:r>
      <w:r>
        <w:rPr>
          <w:rFonts w:hint="eastAsia" w:ascii="仿宋_GB2312" w:cs="Arial"/>
          <w:kern w:val="2"/>
          <w:sz w:val="32"/>
          <w:lang w:val="en-US" w:eastAsia="zh-CN"/>
        </w:rPr>
        <w:t>3756.33</w:t>
      </w:r>
      <w:r>
        <w:rPr>
          <w:rFonts w:hint="eastAsia" w:ascii="仿宋_GB2312" w:cs="Arial"/>
          <w:kern w:val="2"/>
          <w:sz w:val="32"/>
        </w:rPr>
        <w:t>万元</w:t>
      </w:r>
      <w:r>
        <w:rPr>
          <w:rFonts w:hint="eastAsia" w:ascii="仿宋_GB2312" w:cs="Arial"/>
          <w:kern w:val="2"/>
          <w:sz w:val="32"/>
          <w:lang w:eastAsia="zh-CN"/>
        </w:rPr>
        <w:t>，上年结余</w:t>
      </w:r>
      <w:r>
        <w:rPr>
          <w:rFonts w:hint="eastAsia" w:ascii="仿宋_GB2312" w:cs="Arial"/>
          <w:kern w:val="2"/>
          <w:sz w:val="32"/>
          <w:lang w:val="en-US" w:eastAsia="zh-CN"/>
        </w:rPr>
        <w:t>735.17万元</w:t>
      </w:r>
      <w:r>
        <w:rPr>
          <w:rFonts w:hint="eastAsia" w:ascii="仿宋_GB2312" w:cs="Arial"/>
          <w:kern w:val="2"/>
          <w:sz w:val="32"/>
        </w:rPr>
        <w:t>。）</w:t>
      </w:r>
      <w:r>
        <w:rPr>
          <w:rFonts w:hint="eastAsia" w:ascii="仿宋_GB2312" w:cs="Arial"/>
          <w:kern w:val="2"/>
          <w:sz w:val="32"/>
          <w:lang w:eastAsia="zh-CN"/>
        </w:rPr>
        <w:t>预算</w:t>
      </w:r>
      <w:r>
        <w:rPr>
          <w:rFonts w:hint="eastAsia" w:ascii="仿宋_GB2312" w:cs="Arial"/>
          <w:kern w:val="2"/>
          <w:sz w:val="32"/>
        </w:rPr>
        <w:t>总支出</w:t>
      </w:r>
      <w:r>
        <w:rPr>
          <w:rFonts w:hint="eastAsia" w:ascii="仿宋_GB2312" w:cs="Arial"/>
          <w:kern w:val="2"/>
          <w:sz w:val="32"/>
          <w:lang w:val="en-US" w:eastAsia="zh-CN"/>
        </w:rPr>
        <w:t>4491.5</w:t>
      </w:r>
      <w:r>
        <w:rPr>
          <w:rFonts w:hint="eastAsia" w:ascii="仿宋_GB2312" w:cs="Arial"/>
          <w:kern w:val="2"/>
          <w:sz w:val="32"/>
        </w:rPr>
        <w:t>万元，其中基本支出</w:t>
      </w:r>
      <w:r>
        <w:rPr>
          <w:rFonts w:hint="eastAsia" w:ascii="仿宋_GB2312" w:cs="Arial"/>
          <w:kern w:val="2"/>
          <w:sz w:val="32"/>
          <w:lang w:val="en-US" w:eastAsia="zh-CN"/>
        </w:rPr>
        <w:t>2947.33</w:t>
      </w:r>
      <w:r>
        <w:rPr>
          <w:rFonts w:hint="eastAsia" w:ascii="仿宋_GB2312" w:cs="Arial"/>
          <w:kern w:val="2"/>
          <w:sz w:val="32"/>
        </w:rPr>
        <w:t>万元，占全年总支出的</w:t>
      </w:r>
      <w:r>
        <w:rPr>
          <w:rFonts w:hint="eastAsia" w:ascii="仿宋_GB2312" w:cs="Arial"/>
          <w:kern w:val="2"/>
          <w:sz w:val="32"/>
          <w:lang w:val="en-US" w:eastAsia="zh-CN"/>
        </w:rPr>
        <w:t>65.62</w:t>
      </w:r>
      <w:r>
        <w:rPr>
          <w:rFonts w:hint="eastAsia" w:ascii="仿宋_GB2312" w:cs="Arial"/>
          <w:kern w:val="2"/>
          <w:sz w:val="32"/>
        </w:rPr>
        <w:t>%；项目支出</w:t>
      </w:r>
      <w:r>
        <w:rPr>
          <w:rFonts w:hint="eastAsia" w:ascii="仿宋_GB2312" w:cs="Arial"/>
          <w:kern w:val="2"/>
          <w:sz w:val="32"/>
          <w:lang w:val="en-US" w:eastAsia="zh-CN"/>
        </w:rPr>
        <w:t>1544.17万元</w:t>
      </w:r>
      <w:r>
        <w:rPr>
          <w:rFonts w:hint="eastAsia" w:ascii="仿宋_GB2312" w:cs="Arial"/>
          <w:kern w:val="2"/>
          <w:sz w:val="32"/>
        </w:rPr>
        <w:t>，占全年总支出的</w:t>
      </w:r>
      <w:r>
        <w:rPr>
          <w:rFonts w:hint="eastAsia" w:ascii="仿宋_GB2312" w:cs="Arial"/>
          <w:kern w:val="2"/>
          <w:sz w:val="32"/>
          <w:lang w:val="en-US" w:eastAsia="zh-CN"/>
        </w:rPr>
        <w:t>34.38</w:t>
      </w:r>
      <w:r>
        <w:rPr>
          <w:rFonts w:hint="eastAsia" w:ascii="仿宋_GB2312" w:cs="Arial"/>
          <w:kern w:val="2"/>
          <w:sz w:val="32"/>
        </w:rPr>
        <w:t>%。</w:t>
      </w:r>
    </w:p>
    <w:p>
      <w:pPr>
        <w:numPr>
          <w:ilvl w:val="0"/>
          <w:numId w:val="2"/>
        </w:numPr>
        <w:spacing w:line="56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、基本支出情况</w:t>
      </w:r>
    </w:p>
    <w:p>
      <w:pPr>
        <w:numPr>
          <w:numId w:val="0"/>
        </w:num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年我办基本支出为</w:t>
      </w:r>
      <w:r>
        <w:rPr>
          <w:rFonts w:hint="eastAsia" w:ascii="仿宋" w:hAnsi="仿宋" w:eastAsia="仿宋" w:cs="仿宋"/>
          <w:sz w:val="32"/>
          <w:szCs w:val="32"/>
          <w:lang w:val="en-US" w:eastAsia="zh-CN"/>
        </w:rPr>
        <w:t>2947.33</w:t>
      </w:r>
      <w:r>
        <w:rPr>
          <w:rFonts w:hint="eastAsia" w:ascii="仿宋" w:hAnsi="仿宋" w:eastAsia="仿宋" w:cs="仿宋"/>
          <w:sz w:val="32"/>
          <w:szCs w:val="32"/>
        </w:rPr>
        <w:t>万元，其中：1、人员经费</w:t>
      </w:r>
      <w:r>
        <w:rPr>
          <w:rFonts w:hint="eastAsia" w:ascii="仿宋" w:hAnsi="仿宋" w:eastAsia="仿宋" w:cs="仿宋"/>
          <w:sz w:val="32"/>
          <w:szCs w:val="32"/>
          <w:lang w:val="en-US" w:eastAsia="zh-CN"/>
        </w:rPr>
        <w:t>2736.13</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92.83</w:t>
      </w:r>
      <w:r>
        <w:rPr>
          <w:rFonts w:hint="eastAsia" w:ascii="仿宋" w:hAnsi="仿宋" w:eastAsia="仿宋" w:cs="仿宋"/>
          <w:sz w:val="32"/>
          <w:szCs w:val="32"/>
        </w:rPr>
        <w:t>%，主要包括了根据国家规定安排的工资福利支出及对个人和家庭的补助等人员经费支出。其中：工资福利支出</w:t>
      </w:r>
      <w:r>
        <w:rPr>
          <w:rFonts w:hint="eastAsia" w:ascii="仿宋" w:hAnsi="仿宋" w:eastAsia="仿宋" w:cs="仿宋"/>
          <w:sz w:val="32"/>
          <w:szCs w:val="32"/>
          <w:lang w:val="en-US" w:eastAsia="zh-CN"/>
        </w:rPr>
        <w:t>1565.29</w:t>
      </w:r>
      <w:r>
        <w:rPr>
          <w:rFonts w:hint="eastAsia" w:ascii="仿宋" w:hAnsi="仿宋" w:eastAsia="仿宋" w:cs="仿宋"/>
          <w:sz w:val="32"/>
          <w:szCs w:val="32"/>
        </w:rPr>
        <w:t>万元，</w:t>
      </w:r>
      <w:r>
        <w:rPr>
          <w:rFonts w:hint="eastAsia" w:ascii="仿宋" w:hAnsi="仿宋" w:eastAsia="仿宋" w:cs="仿宋"/>
          <w:sz w:val="32"/>
          <w:szCs w:val="32"/>
          <w:lang w:eastAsia="zh-CN"/>
        </w:rPr>
        <w:t>商品和服务支出</w:t>
      </w:r>
      <w:r>
        <w:rPr>
          <w:rFonts w:hint="eastAsia" w:ascii="仿宋" w:hAnsi="仿宋" w:eastAsia="仿宋" w:cs="仿宋"/>
          <w:sz w:val="32"/>
          <w:szCs w:val="32"/>
          <w:lang w:val="en-US" w:eastAsia="zh-CN"/>
        </w:rPr>
        <w:t>1335.42万元，</w:t>
      </w:r>
      <w:r>
        <w:rPr>
          <w:rFonts w:hint="eastAsia" w:ascii="仿宋" w:hAnsi="仿宋" w:eastAsia="仿宋" w:cs="仿宋"/>
          <w:sz w:val="32"/>
          <w:szCs w:val="32"/>
        </w:rPr>
        <w:t>对个人和家庭的补助</w:t>
      </w:r>
      <w:r>
        <w:rPr>
          <w:rFonts w:hint="eastAsia" w:ascii="仿宋" w:hAnsi="仿宋" w:eastAsia="仿宋" w:cs="仿宋"/>
          <w:sz w:val="32"/>
          <w:szCs w:val="32"/>
          <w:lang w:val="en-US" w:eastAsia="zh-CN"/>
        </w:rPr>
        <w:t>46.62</w:t>
      </w:r>
      <w:r>
        <w:rPr>
          <w:rFonts w:hint="eastAsia" w:ascii="仿宋" w:hAnsi="仿宋" w:eastAsia="仿宋" w:cs="仿宋"/>
          <w:sz w:val="32"/>
          <w:szCs w:val="32"/>
        </w:rPr>
        <w:t>万元。2、公用经费</w:t>
      </w:r>
      <w:r>
        <w:rPr>
          <w:rFonts w:hint="eastAsia" w:ascii="仿宋" w:hAnsi="仿宋" w:eastAsia="仿宋" w:cs="仿宋"/>
          <w:sz w:val="32"/>
          <w:szCs w:val="32"/>
          <w:lang w:val="en-US" w:eastAsia="zh-CN"/>
        </w:rPr>
        <w:t>211.2</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7.17</w:t>
      </w:r>
      <w:r>
        <w:rPr>
          <w:rFonts w:hint="eastAsia" w:ascii="仿宋" w:hAnsi="仿宋" w:eastAsia="仿宋" w:cs="仿宋"/>
          <w:sz w:val="32"/>
          <w:szCs w:val="32"/>
        </w:rPr>
        <w:t>%，主要包括</w:t>
      </w:r>
      <w:r>
        <w:rPr>
          <w:rFonts w:hint="eastAsia" w:ascii="仿宋" w:hAnsi="仿宋" w:eastAsia="仿宋" w:cs="仿宋"/>
          <w:color w:val="000000"/>
          <w:sz w:val="32"/>
          <w:szCs w:val="32"/>
        </w:rPr>
        <w:t>按国家规定的开支标准安排的办公费、印刷费、邮电</w:t>
      </w:r>
      <w:r>
        <w:rPr>
          <w:rFonts w:hint="eastAsia" w:ascii="仿宋" w:hAnsi="仿宋" w:eastAsia="仿宋" w:cs="仿宋"/>
          <w:color w:val="000000"/>
          <w:sz w:val="32"/>
          <w:szCs w:val="32"/>
          <w:lang w:eastAsia="zh-CN"/>
        </w:rPr>
        <w:t>费</w:t>
      </w:r>
      <w:r>
        <w:rPr>
          <w:rFonts w:hint="eastAsia" w:ascii="仿宋" w:hAnsi="仿宋" w:eastAsia="仿宋" w:cs="仿宋"/>
          <w:color w:val="000000"/>
          <w:sz w:val="32"/>
          <w:szCs w:val="32"/>
        </w:rPr>
        <w:t>、差旅费、会议费、</w:t>
      </w:r>
      <w:r>
        <w:rPr>
          <w:rFonts w:hint="eastAsia" w:ascii="仿宋" w:hAnsi="仿宋" w:eastAsia="仿宋" w:cs="仿宋"/>
          <w:color w:val="000000"/>
          <w:sz w:val="32"/>
          <w:szCs w:val="32"/>
          <w:lang w:eastAsia="zh-CN"/>
        </w:rPr>
        <w:t>租赁费、</w:t>
      </w:r>
      <w:r>
        <w:rPr>
          <w:rFonts w:hint="eastAsia" w:ascii="仿宋" w:hAnsi="仿宋" w:eastAsia="仿宋" w:cs="仿宋"/>
          <w:color w:val="000000"/>
          <w:sz w:val="32"/>
          <w:szCs w:val="32"/>
        </w:rPr>
        <w:t>工会经费、日常维修费、</w:t>
      </w:r>
      <w:r>
        <w:rPr>
          <w:rFonts w:hint="eastAsia" w:ascii="仿宋" w:hAnsi="仿宋" w:eastAsia="仿宋" w:cs="仿宋"/>
          <w:color w:val="000000"/>
          <w:sz w:val="32"/>
          <w:szCs w:val="32"/>
          <w:lang w:eastAsia="zh-CN"/>
        </w:rPr>
        <w:t>劳务费</w:t>
      </w:r>
      <w:r>
        <w:rPr>
          <w:rFonts w:hint="eastAsia" w:ascii="仿宋" w:hAnsi="仿宋" w:eastAsia="仿宋" w:cs="仿宋"/>
          <w:color w:val="000000"/>
          <w:sz w:val="32"/>
          <w:szCs w:val="32"/>
        </w:rPr>
        <w:t>及一般设备购置费、办公用房水电费、办公用房物业管理费、公务用车运行维护费以及其他费用。</w:t>
      </w:r>
    </w:p>
    <w:p>
      <w:pPr>
        <w:widowControl/>
        <w:shd w:val="clear" w:color="000000" w:fill="FFFFFF"/>
        <w:spacing w:before="156" w:after="156" w:line="460" w:lineRule="exact"/>
        <w:jc w:val="left"/>
        <w:rPr>
          <w:rFonts w:hint="eastAsia" w:ascii="仿宋" w:hAnsi="仿宋" w:eastAsia="仿宋" w:cs="仿宋"/>
          <w:sz w:val="32"/>
          <w:szCs w:val="32"/>
        </w:rPr>
      </w:pPr>
      <w:r>
        <w:rPr>
          <w:rFonts w:hint="eastAsia" w:ascii="仿宋" w:hAnsi="仿宋" w:eastAsia="仿宋" w:cs="仿宋"/>
          <w:sz w:val="32"/>
          <w:szCs w:val="32"/>
        </w:rPr>
        <w:t>（二）、“三公”经费支出情况</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“三公”经费年初预算</w:t>
      </w:r>
      <w:r>
        <w:rPr>
          <w:rFonts w:hint="eastAsia" w:ascii="仿宋" w:hAnsi="仿宋" w:eastAsia="仿宋" w:cs="仿宋"/>
          <w:sz w:val="32"/>
          <w:szCs w:val="32"/>
          <w:lang w:val="en-US" w:eastAsia="zh-CN"/>
        </w:rPr>
        <w:t>110</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90</w:t>
      </w:r>
      <w:r>
        <w:rPr>
          <w:rFonts w:hint="eastAsia" w:ascii="仿宋" w:hAnsi="仿宋" w:eastAsia="仿宋" w:cs="仿宋"/>
          <w:sz w:val="32"/>
          <w:szCs w:val="32"/>
        </w:rPr>
        <w:t>万元，公务用车运行费</w:t>
      </w:r>
      <w:r>
        <w:rPr>
          <w:rFonts w:hint="eastAsia" w:ascii="仿宋" w:hAnsi="仿宋" w:eastAsia="仿宋" w:cs="仿宋"/>
          <w:sz w:val="32"/>
          <w:szCs w:val="32"/>
          <w:lang w:val="en-US" w:eastAsia="zh-CN"/>
        </w:rPr>
        <w:t>20</w:t>
      </w:r>
      <w:r>
        <w:rPr>
          <w:rFonts w:hint="eastAsia" w:ascii="仿宋" w:hAnsi="仿宋" w:eastAsia="仿宋" w:cs="仿宋"/>
          <w:sz w:val="32"/>
          <w:szCs w:val="32"/>
        </w:rPr>
        <w:t>万元，因公出国（境）费0万元。实际“三公”经费支出</w:t>
      </w:r>
      <w:r>
        <w:rPr>
          <w:rFonts w:hint="eastAsia" w:ascii="仿宋" w:hAnsi="仿宋" w:eastAsia="仿宋" w:cs="仿宋"/>
          <w:sz w:val="32"/>
          <w:szCs w:val="32"/>
          <w:lang w:val="en-US" w:eastAsia="zh-CN"/>
        </w:rPr>
        <w:t>29.76</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27.05</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11.96</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10.87</w:t>
      </w:r>
      <w:r>
        <w:rPr>
          <w:rFonts w:hint="eastAsia" w:ascii="仿宋" w:hAnsi="仿宋" w:eastAsia="仿宋" w:cs="仿宋"/>
          <w:sz w:val="32"/>
          <w:szCs w:val="32"/>
        </w:rPr>
        <w:t>%,公务用车运行费</w:t>
      </w:r>
      <w:r>
        <w:rPr>
          <w:rFonts w:hint="eastAsia" w:ascii="仿宋" w:hAnsi="仿宋" w:eastAsia="仿宋" w:cs="仿宋"/>
          <w:sz w:val="32"/>
          <w:szCs w:val="32"/>
          <w:lang w:val="en-US" w:eastAsia="zh-CN"/>
        </w:rPr>
        <w:t>17.8</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16.18</w:t>
      </w:r>
      <w:r>
        <w:rPr>
          <w:rFonts w:hint="eastAsia" w:ascii="仿宋" w:hAnsi="仿宋" w:eastAsia="仿宋" w:cs="仿宋"/>
          <w:sz w:val="32"/>
          <w:szCs w:val="32"/>
        </w:rPr>
        <w:t>%，因公出国（境）费0万元。“三公”经费结余</w:t>
      </w:r>
      <w:r>
        <w:rPr>
          <w:rFonts w:hint="eastAsia" w:ascii="仿宋" w:hAnsi="仿宋" w:eastAsia="仿宋" w:cs="仿宋"/>
          <w:sz w:val="32"/>
          <w:szCs w:val="32"/>
          <w:lang w:val="en-US" w:eastAsia="zh-CN"/>
        </w:rPr>
        <w:t>80.24</w:t>
      </w:r>
      <w:r>
        <w:rPr>
          <w:rFonts w:hint="eastAsia" w:ascii="仿宋" w:hAnsi="仿宋" w:eastAsia="仿宋" w:cs="仿宋"/>
          <w:sz w:val="32"/>
          <w:szCs w:val="32"/>
        </w:rPr>
        <w:t>万元，结余率</w:t>
      </w:r>
      <w:r>
        <w:rPr>
          <w:rFonts w:hint="eastAsia" w:ascii="仿宋" w:hAnsi="仿宋" w:eastAsia="仿宋" w:cs="仿宋"/>
          <w:sz w:val="32"/>
          <w:szCs w:val="32"/>
          <w:lang w:val="en-US" w:eastAsia="zh-CN"/>
        </w:rPr>
        <w:t>72.95</w:t>
      </w:r>
      <w:r>
        <w:rPr>
          <w:rFonts w:hint="eastAsia" w:ascii="仿宋" w:hAnsi="仿宋" w:eastAsia="仿宋" w:cs="仿宋"/>
          <w:sz w:val="32"/>
          <w:szCs w:val="32"/>
        </w:rPr>
        <w:t>%。</w:t>
      </w:r>
      <w:r>
        <w:rPr>
          <w:rFonts w:hint="eastAsia" w:ascii="仿宋" w:hAnsi="仿宋" w:eastAsia="仿宋" w:cs="仿宋"/>
          <w:sz w:val="32"/>
          <w:szCs w:val="32"/>
          <w:lang w:eastAsia="zh-CN"/>
        </w:rPr>
        <w:t>原因为财政资金调度不及时，当年支出未结清。</w:t>
      </w:r>
    </w:p>
    <w:p>
      <w:pPr>
        <w:ind w:firstLine="640"/>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（三）、资金管理情况</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1）、积极建立健全了财务管理和约束机制，制定了各项规章制度，如预算资金管理办法、内部财务管理制度、公务接待管理办法、公务用车管理制度及资产管理制度等；</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2）、加强了内部控制，成立了财务监督小组，实行3千元以下的支出由分管财务的领导和一名办公室副主任共同审核签字、3千元以上的支出还须经办公室主任审核签字后方可报销，严把了经费支出审批关；</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3）、强化了制度执行，切实做好了厉行节约工作，全面落实各项管理制度要求，严控了“三公经费”，努力降低了行政成本，切实做到了细、严、实。</w:t>
      </w:r>
    </w:p>
    <w:p>
      <w:pPr>
        <w:spacing w:line="580" w:lineRule="exact"/>
        <w:contextualSpacing/>
        <w:rPr>
          <w:rFonts w:hint="eastAsia" w:ascii="仿宋_GB2312" w:hAnsi="仿宋_GB2312" w:cs="仿宋_GB2312"/>
          <w:color w:val="000000"/>
        </w:rPr>
      </w:pPr>
      <w:bookmarkStart w:id="0" w:name="_GoBack"/>
      <w:bookmarkEnd w:id="0"/>
      <w:r>
        <w:rPr>
          <w:rFonts w:hint="eastAsia" w:ascii="仿宋_GB2312" w:hAnsi="仿宋_GB2312" w:cs="仿宋_GB2312"/>
          <w:color w:val="000000"/>
        </w:rPr>
        <w:t>四、整体支出绩效目标完成情况</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我办围绕县委、县政府中心工作大局，主动适应新形势、新任务和新要求，从提升工作效能入手，强化服务意识，规范工作流程，完善制度机制，充分发挥办公室参谋辅助、协调运转、服务保障的作用，经济调查研究、政务服务督查、信息报送、应急值守、法律服务、扶贫攻坚、后勤保障等各项工作都取得了较好的成绩</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五、存在的问题</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通过前述对我办整体支出情况的分析，反映出目前在整体支出的预算编制、执行和管理过程中，依然存在一些问题和不足主要是：</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1、年初预算编制前瞩性偏低，造成预算执行偏低</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2、财政预算资金安排不及时影响绩效目标完成质量；</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3、财务管理在精度和深度上有欠缺，缺乏创新；</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4、内部管理制度在实际执行过程中欠细化。</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xml:space="preserve">    六、改进措施和有关建议</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1、进一步加强内部机构的预算管理意识，严格按照预算编制的相关制度和要求，合理科学的编制预算，进一步提高预算编制的前瞩性、合理性、严谨性和可控性。</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2、建议县财政足额、及时安排单位预算资金；</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3、加强对财务人员的业务指导及培训，让财务管理工作精华、深化；</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4、细化内部管理方案，重落实，高效优质地完成各项工作任务。</w:t>
      </w: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72"/>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C4FD2"/>
    <w:multiLevelType w:val="singleLevel"/>
    <w:tmpl w:val="991C4FD2"/>
    <w:lvl w:ilvl="0" w:tentative="0">
      <w:start w:val="1"/>
      <w:numFmt w:val="chineseCounting"/>
      <w:suff w:val="nothing"/>
      <w:lvlText w:val="（%1）"/>
      <w:lvlJc w:val="left"/>
      <w:rPr>
        <w:rFonts w:hint="eastAsia"/>
      </w:rPr>
    </w:lvl>
  </w:abstractNum>
  <w:abstractNum w:abstractNumId="1">
    <w:nsid w:val="C62BFD82"/>
    <w:multiLevelType w:val="singleLevel"/>
    <w:tmpl w:val="C62BFD8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YTUzOTQ2NjZkMTE3YzA1N2M0ZDUzNGM1NTBkYzUifQ=="/>
  </w:docVars>
  <w:rsids>
    <w:rsidRoot w:val="005D23EC"/>
    <w:rsid w:val="005D23EC"/>
    <w:rsid w:val="006077F8"/>
    <w:rsid w:val="00723AD9"/>
    <w:rsid w:val="007754BA"/>
    <w:rsid w:val="0078601F"/>
    <w:rsid w:val="044B3B7F"/>
    <w:rsid w:val="046917C8"/>
    <w:rsid w:val="05B77F2C"/>
    <w:rsid w:val="05D13C9E"/>
    <w:rsid w:val="08B12D43"/>
    <w:rsid w:val="0DA81381"/>
    <w:rsid w:val="0DF14C69"/>
    <w:rsid w:val="10E64849"/>
    <w:rsid w:val="130D2DA4"/>
    <w:rsid w:val="13286CF2"/>
    <w:rsid w:val="18EB32A8"/>
    <w:rsid w:val="1A4C32C6"/>
    <w:rsid w:val="1A8C400A"/>
    <w:rsid w:val="1B852A0F"/>
    <w:rsid w:val="1BFE2CE6"/>
    <w:rsid w:val="1C152129"/>
    <w:rsid w:val="23902EAD"/>
    <w:rsid w:val="25180974"/>
    <w:rsid w:val="2626523A"/>
    <w:rsid w:val="2C4047C0"/>
    <w:rsid w:val="2D004DF9"/>
    <w:rsid w:val="2D3C3247"/>
    <w:rsid w:val="30647BE5"/>
    <w:rsid w:val="30FC1B13"/>
    <w:rsid w:val="33BA52ED"/>
    <w:rsid w:val="3B936B4F"/>
    <w:rsid w:val="3D3C7832"/>
    <w:rsid w:val="41841981"/>
    <w:rsid w:val="42E94CF2"/>
    <w:rsid w:val="449F6BB2"/>
    <w:rsid w:val="45D04EBC"/>
    <w:rsid w:val="49685368"/>
    <w:rsid w:val="4BBA0128"/>
    <w:rsid w:val="4F6D6F84"/>
    <w:rsid w:val="512B12F3"/>
    <w:rsid w:val="51CD2963"/>
    <w:rsid w:val="56B0015D"/>
    <w:rsid w:val="5AEB5C08"/>
    <w:rsid w:val="5CD7457F"/>
    <w:rsid w:val="62FF575B"/>
    <w:rsid w:val="65A17F37"/>
    <w:rsid w:val="6A132A85"/>
    <w:rsid w:val="6A767C06"/>
    <w:rsid w:val="6AC16985"/>
    <w:rsid w:val="6D5D50CF"/>
    <w:rsid w:val="6EDC5B3C"/>
    <w:rsid w:val="7055204A"/>
    <w:rsid w:val="78DC4B30"/>
    <w:rsid w:val="7910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1141</Words>
  <Characters>6509</Characters>
  <Lines>54</Lines>
  <Paragraphs>15</Paragraphs>
  <TotalTime>28</TotalTime>
  <ScaleCrop>false</ScaleCrop>
  <LinksUpToDate>false</LinksUpToDate>
  <CharactersWithSpaces>7635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2022-05-13T02:00:00Z</dcterms:created>
  <dc:creator>Administrator</dc:creator>
  <cp:lastModifiedBy>Administrator</cp:lastModifiedBy>
  <cp:lastPrinted>2022-04-24T01:35:00Z</cp:lastPrinted>
  <dcterms:modified xsi:type="dcterms:W3CDTF">2022-05-17T03:32:42Z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A19CE9EB5D614159AB2C6D291100790E</vt:lpwstr>
  </property>
</Properties>
</file>