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65" w:beforeAutospacing="0" w:afterLines="0" w:afterAutospacing="0" w:line="560" w:lineRule="exact"/>
        <w:rPr>
          <w:rFonts w:ascii="黑体" w:hAnsi="黑体" w:eastAsia="黑体"/>
        </w:rPr>
      </w:pPr>
      <w:r>
        <w:rPr>
          <w:rFonts w:ascii="黑体" w:hAnsi="黑体" w:eastAsia="黑体"/>
        </w:rPr>
        <w:t xml:space="preserve"> 附件1</w:t>
      </w:r>
    </w:p>
    <w:p>
      <w:pPr>
        <w:pStyle w:val="4"/>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2"/>
        <w:tblW w:w="10600" w:type="dxa"/>
        <w:jc w:val="center"/>
        <w:tblLayout w:type="fixed"/>
        <w:tblCellMar>
          <w:top w:w="0" w:type="dxa"/>
          <w:left w:w="108" w:type="dxa"/>
          <w:bottom w:w="0" w:type="dxa"/>
          <w:right w:w="108" w:type="dxa"/>
        </w:tblCellMar>
      </w:tblPr>
      <w:tblGrid>
        <w:gridCol w:w="506"/>
        <w:gridCol w:w="458"/>
        <w:gridCol w:w="671"/>
        <w:gridCol w:w="456"/>
        <w:gridCol w:w="1001"/>
        <w:gridCol w:w="455"/>
        <w:gridCol w:w="2978"/>
        <w:gridCol w:w="3446"/>
        <w:gridCol w:w="628"/>
      </w:tblGrid>
      <w:tr>
        <w:tblPrEx>
          <w:tblCellMar>
            <w:top w:w="0" w:type="dxa"/>
            <w:left w:w="108" w:type="dxa"/>
            <w:bottom w:w="0" w:type="dxa"/>
            <w:right w:w="108" w:type="dxa"/>
          </w:tblCellMar>
        </w:tblPrEx>
        <w:trPr>
          <w:tblHeader/>
          <w:jc w:val="center"/>
        </w:trPr>
        <w:tc>
          <w:tcPr>
            <w:tcW w:w="506" w:type="dxa"/>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一级指标</w:t>
            </w:r>
          </w:p>
        </w:tc>
        <w:tc>
          <w:tcPr>
            <w:tcW w:w="458"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分值</w:t>
            </w:r>
          </w:p>
        </w:tc>
        <w:tc>
          <w:tcPr>
            <w:tcW w:w="671"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二级指标</w:t>
            </w:r>
          </w:p>
        </w:tc>
        <w:tc>
          <w:tcPr>
            <w:tcW w:w="456"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分值</w:t>
            </w:r>
          </w:p>
        </w:tc>
        <w:tc>
          <w:tcPr>
            <w:tcW w:w="1001"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三级</w:t>
            </w:r>
          </w:p>
          <w:p>
            <w:pPr>
              <w:pStyle w:val="4"/>
              <w:widowControl w:val="0"/>
              <w:jc w:val="center"/>
              <w:rPr>
                <w:rFonts w:ascii="仿宋" w:hAnsi="仿宋" w:eastAsia="仿宋"/>
                <w:sz w:val="24"/>
                <w:szCs w:val="24"/>
              </w:rPr>
            </w:pPr>
            <w:r>
              <w:rPr>
                <w:rFonts w:ascii="仿宋" w:hAnsi="仿宋" w:eastAsia="仿宋"/>
                <w:sz w:val="24"/>
                <w:szCs w:val="24"/>
              </w:rPr>
              <w:t>指标</w:t>
            </w:r>
          </w:p>
        </w:tc>
        <w:tc>
          <w:tcPr>
            <w:tcW w:w="455"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分值</w:t>
            </w:r>
          </w:p>
        </w:tc>
        <w:tc>
          <w:tcPr>
            <w:tcW w:w="2978"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评价标准</w:t>
            </w:r>
          </w:p>
        </w:tc>
        <w:tc>
          <w:tcPr>
            <w:tcW w:w="3446"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指标说明</w:t>
            </w:r>
          </w:p>
        </w:tc>
        <w:tc>
          <w:tcPr>
            <w:tcW w:w="628"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得分</w:t>
            </w:r>
          </w:p>
        </w:tc>
      </w:tr>
      <w:tr>
        <w:tblPrEx>
          <w:tblCellMar>
            <w:top w:w="0" w:type="dxa"/>
            <w:left w:w="108" w:type="dxa"/>
            <w:bottom w:w="0" w:type="dxa"/>
            <w:right w:w="108" w:type="dxa"/>
          </w:tblCellMar>
        </w:tblPrEx>
        <w:trPr>
          <w:trHeight w:val="1814" w:hRule="atLeast"/>
          <w:jc w:val="center"/>
        </w:trPr>
        <w:tc>
          <w:tcPr>
            <w:tcW w:w="50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投入</w:t>
            </w:r>
          </w:p>
        </w:tc>
        <w:tc>
          <w:tcPr>
            <w:tcW w:w="458"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10</w:t>
            </w:r>
          </w:p>
        </w:tc>
        <w:tc>
          <w:tcPr>
            <w:tcW w:w="671" w:type="dxa"/>
            <w:vMerge w:val="restart"/>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10</w:t>
            </w: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在职人员控制率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以100%为标准。在职人员控制率≦100%，计5分；每超过一个百分点扣0.5分，扣完为止。</w:t>
            </w:r>
          </w:p>
        </w:tc>
        <w:tc>
          <w:tcPr>
            <w:tcW w:w="3446"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在职人员控制率=（在职人员数/编制数）×100%，在职人员数：部门（单位）实际在职人数，以财政确定的部门决算编制口径为准。</w:t>
            </w:r>
            <w:r>
              <w:rPr>
                <w:rFonts w:ascii="仿宋" w:hAnsi="仿宋" w:eastAsia="仿宋"/>
                <w:sz w:val="24"/>
                <w:szCs w:val="24"/>
              </w:rPr>
              <w:br w:type="textWrapping"/>
            </w:r>
            <w:r>
              <w:rPr>
                <w:rFonts w:ascii="仿宋" w:hAnsi="仿宋" w:eastAsia="仿宋"/>
                <w:sz w:val="24"/>
                <w:szCs w:val="24"/>
              </w:rPr>
              <w:t>编制数：机构编制部门核定批复的部门（单位）的人员编制数。</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5</w:t>
            </w:r>
          </w:p>
        </w:tc>
      </w:tr>
      <w:tr>
        <w:tblPrEx>
          <w:tblCellMar>
            <w:top w:w="0" w:type="dxa"/>
            <w:left w:w="108" w:type="dxa"/>
            <w:bottom w:w="0" w:type="dxa"/>
            <w:right w:w="108" w:type="dxa"/>
          </w:tblCellMar>
        </w:tblPrEx>
        <w:trPr>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“三公经费”变动率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“三公经费”变动率≦0,计5分；“三公经费”＞0，每超过一个百分点扣0.5分，扣完为止。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“三公经费”变动率=[（本年度“三公经费”预算数-上年度“三公经费”预算数）/上年度“三公经费”预算数]×100%</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5</w:t>
            </w:r>
          </w:p>
        </w:tc>
      </w:tr>
      <w:tr>
        <w:tblPrEx>
          <w:tblCellMar>
            <w:top w:w="0" w:type="dxa"/>
            <w:left w:w="108" w:type="dxa"/>
            <w:bottom w:w="0" w:type="dxa"/>
            <w:right w:w="108" w:type="dxa"/>
          </w:tblCellMar>
        </w:tblPrEx>
        <w:trPr>
          <w:jc w:val="center"/>
        </w:trPr>
        <w:tc>
          <w:tcPr>
            <w:tcW w:w="50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过                                                                                                                                       程</w:t>
            </w:r>
          </w:p>
        </w:tc>
        <w:tc>
          <w:tcPr>
            <w:tcW w:w="458"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60</w:t>
            </w:r>
          </w:p>
        </w:tc>
        <w:tc>
          <w:tcPr>
            <w:tcW w:w="67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20</w:t>
            </w: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预算完成率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100%计满分，每低于5个百分点扣2分，扣完为止。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预算完成率=（上年结转+年初预算+本年追加预算-年末结余）/（上年结转+年初预算+本年追加预算）×100%。</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5</w:t>
            </w:r>
          </w:p>
        </w:tc>
      </w:tr>
      <w:tr>
        <w:tblPrEx>
          <w:tblCellMar>
            <w:top w:w="0" w:type="dxa"/>
            <w:left w:w="108" w:type="dxa"/>
            <w:bottom w:w="0" w:type="dxa"/>
            <w:right w:w="108" w:type="dxa"/>
          </w:tblCellMar>
        </w:tblPrEx>
        <w:trPr>
          <w:trHeight w:val="1273"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预算控制率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预算控制率=0，计5分；0-10%（含），计4分；10-20%（含），计3分；20-30%（含），计2分；大于30%不得分。</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预算控制率=（本年追加预算/年初预算）×100%。</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cs="Arial"/>
                <w:color w:val="auto"/>
                <w:kern w:val="2"/>
                <w:sz w:val="24"/>
                <w:szCs w:val="24"/>
                <w:lang w:val="en-US" w:eastAsia="zh-CN" w:bidi="ar-SA"/>
              </w:rPr>
            </w:pPr>
            <w:r>
              <w:rPr>
                <w:rFonts w:ascii="仿宋" w:hAnsi="仿宋" w:eastAsia="仿宋" w:cs="Arial"/>
                <w:color w:val="auto"/>
                <w:kern w:val="2"/>
                <w:sz w:val="24"/>
                <w:szCs w:val="24"/>
                <w:lang w:val="en-US" w:eastAsia="zh-CN" w:bidi="ar-SA"/>
              </w:rPr>
              <w:t>5</w:t>
            </w:r>
          </w:p>
        </w:tc>
      </w:tr>
      <w:tr>
        <w:tblPrEx>
          <w:tblCellMar>
            <w:top w:w="0" w:type="dxa"/>
            <w:left w:w="108" w:type="dxa"/>
            <w:bottom w:w="0" w:type="dxa"/>
            <w:right w:w="108" w:type="dxa"/>
          </w:tblCellMar>
        </w:tblPrEx>
        <w:trPr>
          <w:trHeight w:val="1325"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新建楼堂馆所面积控制率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100%以下（含）计满分，每超出5%扣2分，扣完为止。没有楼堂馆所项目的部门按满分计算。</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楼堂馆所面积控制率=实际建设面积/批准建设面积×100% 。</w:t>
            </w:r>
            <w:r>
              <w:rPr>
                <w:rFonts w:ascii="仿宋" w:hAnsi="仿宋" w:eastAsia="仿宋"/>
                <w:sz w:val="24"/>
                <w:szCs w:val="24"/>
              </w:rPr>
              <w:br w:type="textWrapping"/>
            </w:r>
            <w:r>
              <w:rPr>
                <w:rFonts w:ascii="仿宋" w:hAnsi="仿宋" w:eastAsia="仿宋"/>
                <w:sz w:val="24"/>
                <w:szCs w:val="24"/>
              </w:rPr>
              <w:t>该指标以2017年完工的新建楼堂馆所为评价内容。</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5</w:t>
            </w:r>
          </w:p>
        </w:tc>
      </w:tr>
      <w:tr>
        <w:tblPrEx>
          <w:tblCellMar>
            <w:top w:w="0" w:type="dxa"/>
            <w:left w:w="108" w:type="dxa"/>
            <w:bottom w:w="0" w:type="dxa"/>
            <w:right w:w="108" w:type="dxa"/>
          </w:tblCellMar>
        </w:tblPrEx>
        <w:trPr>
          <w:trHeight w:val="1543"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新建楼堂馆所投资概算控制率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100%以下（含）计满分，每超出5%扣2分，扣完为止。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楼堂馆所投资预算控制率=实际投资金额/批准投资金额×100% 。</w:t>
            </w:r>
            <w:r>
              <w:rPr>
                <w:rFonts w:ascii="仿宋" w:hAnsi="仿宋" w:eastAsia="仿宋"/>
                <w:sz w:val="24"/>
                <w:szCs w:val="24"/>
              </w:rPr>
              <w:br w:type="textWrapping"/>
            </w:r>
            <w:r>
              <w:rPr>
                <w:rFonts w:ascii="仿宋" w:hAnsi="仿宋" w:eastAsia="仿宋"/>
                <w:sz w:val="24"/>
                <w:szCs w:val="24"/>
              </w:rPr>
              <w:t>该指标以2017年完工的新建楼堂馆所为评价内容。</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5</w:t>
            </w:r>
          </w:p>
        </w:tc>
      </w:tr>
      <w:tr>
        <w:tblPrEx>
          <w:tblCellMar>
            <w:top w:w="0" w:type="dxa"/>
            <w:left w:w="108" w:type="dxa"/>
            <w:bottom w:w="0" w:type="dxa"/>
            <w:right w:w="108" w:type="dxa"/>
          </w:tblCellMar>
        </w:tblPrEx>
        <w:trPr>
          <w:trHeight w:val="1562"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40</w:t>
            </w: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公用经费控制率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8</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100%以下（含）计满分，每超出1%扣1分，扣完为止。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公用经费控制率=（实际支出公用经费总额/预算安排公用经费总额）×100%。</w:t>
            </w:r>
            <w:r>
              <w:rPr>
                <w:rFonts w:ascii="仿宋" w:hAnsi="仿宋" w:eastAsia="仿宋"/>
                <w:sz w:val="24"/>
                <w:szCs w:val="24"/>
              </w:rPr>
              <w:br w:type="textWrapping"/>
            </w:r>
            <w:r>
              <w:rPr>
                <w:rFonts w:ascii="仿宋" w:hAnsi="仿宋" w:eastAsia="仿宋"/>
                <w:sz w:val="24"/>
                <w:szCs w:val="24"/>
              </w:rPr>
              <w:t>公用经费支出是指部门基本支出中的一般商品和服务支出。</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8</w:t>
            </w:r>
          </w:p>
        </w:tc>
      </w:tr>
      <w:tr>
        <w:tblPrEx>
          <w:tblCellMar>
            <w:top w:w="0" w:type="dxa"/>
            <w:left w:w="108" w:type="dxa"/>
            <w:bottom w:w="0" w:type="dxa"/>
            <w:right w:w="108" w:type="dxa"/>
          </w:tblCellMar>
        </w:tblPrEx>
        <w:trPr>
          <w:trHeight w:val="1073"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“三公经费”控制率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7</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100%以下（含）计满分，每超出1%扣1分，扣完为止。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“三公经费”控制率-（“三公经费”实际支出数/“三公经费”预算安排数）×100%。</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7</w:t>
            </w:r>
          </w:p>
        </w:tc>
      </w:tr>
      <w:tr>
        <w:tblPrEx>
          <w:tblCellMar>
            <w:top w:w="0" w:type="dxa"/>
            <w:left w:w="108" w:type="dxa"/>
            <w:bottom w:w="0" w:type="dxa"/>
            <w:right w:w="108" w:type="dxa"/>
          </w:tblCellMar>
        </w:tblPrEx>
        <w:trPr>
          <w:trHeight w:val="918"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政府采购执行率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6</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100%计满分，每超过（降低）5%扣2分。扣完为止。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政府采购执行率=（实际政府采购金额/政府采购预算数）×100%</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6　</w:t>
            </w:r>
          </w:p>
        </w:tc>
      </w:tr>
      <w:tr>
        <w:tblPrEx>
          <w:tblCellMar>
            <w:top w:w="0" w:type="dxa"/>
            <w:left w:w="108" w:type="dxa"/>
            <w:bottom w:w="0" w:type="dxa"/>
            <w:right w:w="108" w:type="dxa"/>
          </w:tblCellMar>
        </w:tblPrEx>
        <w:trPr>
          <w:jc w:val="center"/>
        </w:trPr>
        <w:tc>
          <w:tcPr>
            <w:tcW w:w="506"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过                                                                                                                                       程</w:t>
            </w:r>
          </w:p>
        </w:tc>
        <w:tc>
          <w:tcPr>
            <w:tcW w:w="458"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p>
        </w:tc>
        <w:tc>
          <w:tcPr>
            <w:tcW w:w="671" w:type="dxa"/>
            <w:vMerge w:val="restart"/>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管理制度健全性</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8</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①有内部财务管理制度、会计核算制度等管理制度，2分；</w:t>
            </w:r>
            <w:r>
              <w:rPr>
                <w:rFonts w:ascii="仿宋" w:hAnsi="仿宋" w:eastAsia="仿宋"/>
                <w:sz w:val="24"/>
                <w:szCs w:val="24"/>
              </w:rPr>
              <w:br w:type="textWrapping"/>
            </w:r>
            <w:r>
              <w:rPr>
                <w:rFonts w:ascii="仿宋" w:hAnsi="仿宋" w:eastAsia="仿宋"/>
                <w:sz w:val="24"/>
                <w:szCs w:val="24"/>
              </w:rPr>
              <w:t>②有本部门厉行节约制度,2分；</w:t>
            </w:r>
            <w:r>
              <w:rPr>
                <w:rFonts w:ascii="仿宋" w:hAnsi="仿宋" w:eastAsia="仿宋"/>
                <w:sz w:val="24"/>
                <w:szCs w:val="24"/>
              </w:rPr>
              <w:br w:type="textWrapping"/>
            </w:r>
            <w:r>
              <w:rPr>
                <w:rFonts w:ascii="仿宋" w:hAnsi="仿宋" w:eastAsia="仿宋"/>
                <w:sz w:val="24"/>
                <w:szCs w:val="24"/>
              </w:rPr>
              <w:t>③相关管理制度合法、合规、完整，2分；④相关管理制度得到有效执行，2分。</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w:t>
            </w:r>
            <w:r>
              <w:rPr>
                <w:rFonts w:ascii="仿宋" w:hAnsi="仿宋" w:eastAsia="仿宋" w:cs="Arial"/>
                <w:color w:val="auto"/>
                <w:kern w:val="2"/>
                <w:sz w:val="24"/>
                <w:szCs w:val="24"/>
                <w:lang w:val="en-US" w:eastAsia="zh-CN" w:bidi="ar-SA"/>
              </w:rPr>
              <w:t>6</w:t>
            </w:r>
          </w:p>
        </w:tc>
      </w:tr>
      <w:tr>
        <w:tblPrEx>
          <w:tblCellMar>
            <w:top w:w="0" w:type="dxa"/>
            <w:left w:w="108" w:type="dxa"/>
            <w:bottom w:w="0" w:type="dxa"/>
            <w:right w:w="108" w:type="dxa"/>
          </w:tblCellMar>
        </w:tblPrEx>
        <w:trPr>
          <w:trHeight w:val="3936" w:hRule="atLeast"/>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资金使用合规性</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6</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4"/>
                <w:szCs w:val="24"/>
              </w:rPr>
              <w:br w:type="textWrapping"/>
            </w:r>
            <w:r>
              <w:rPr>
                <w:rFonts w:ascii="仿宋" w:hAnsi="仿宋" w:eastAsia="仿宋"/>
                <w:sz w:val="24"/>
                <w:szCs w:val="24"/>
              </w:rPr>
              <w:t>以上情况每出现一例不符合要求的扣1分，扣完为止。</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cs="Arial"/>
                <w:color w:val="auto"/>
                <w:kern w:val="2"/>
                <w:sz w:val="24"/>
                <w:szCs w:val="24"/>
                <w:lang w:val="en-US" w:eastAsia="zh-CN" w:bidi="ar-SA"/>
              </w:rPr>
              <w:t>6</w:t>
            </w:r>
            <w:r>
              <w:rPr>
                <w:rFonts w:ascii="仿宋" w:hAnsi="仿宋" w:eastAsia="仿宋"/>
                <w:sz w:val="24"/>
                <w:szCs w:val="24"/>
              </w:rPr>
              <w:t>　</w:t>
            </w:r>
          </w:p>
        </w:tc>
      </w:tr>
      <w:tr>
        <w:tblPrEx>
          <w:tblCellMar>
            <w:top w:w="0" w:type="dxa"/>
            <w:left w:w="108" w:type="dxa"/>
            <w:bottom w:w="0" w:type="dxa"/>
            <w:right w:w="108" w:type="dxa"/>
          </w:tblCellMar>
        </w:tblPrEx>
        <w:trPr>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预决算信息公开性</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5</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预决算信息是指与部门预算、执行、决算、监督、绩效等管理相关的信息。</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5</w:t>
            </w:r>
          </w:p>
        </w:tc>
      </w:tr>
      <w:tr>
        <w:tblPrEx>
          <w:tblCellMar>
            <w:top w:w="0" w:type="dxa"/>
            <w:left w:w="108" w:type="dxa"/>
            <w:bottom w:w="0" w:type="dxa"/>
            <w:right w:w="108" w:type="dxa"/>
          </w:tblCellMar>
        </w:tblPrEx>
        <w:trPr>
          <w:jc w:val="center"/>
        </w:trPr>
        <w:tc>
          <w:tcPr>
            <w:tcW w:w="50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产出及效率</w:t>
            </w:r>
          </w:p>
        </w:tc>
        <w:tc>
          <w:tcPr>
            <w:tcW w:w="458"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30</w:t>
            </w:r>
          </w:p>
        </w:tc>
        <w:tc>
          <w:tcPr>
            <w:tcW w:w="671"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职责履行</w:t>
            </w:r>
          </w:p>
        </w:tc>
        <w:tc>
          <w:tcPr>
            <w:tcW w:w="456"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8</w:t>
            </w:r>
          </w:p>
        </w:tc>
        <w:tc>
          <w:tcPr>
            <w:tcW w:w="1001"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重点工作实际完成率</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8</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根据绩效办2018年对各部门为民办实事和部门重点工程与重点工作考核分数折算。</w:t>
            </w:r>
            <w:r>
              <w:rPr>
                <w:rFonts w:ascii="仿宋" w:hAnsi="仿宋" w:eastAsia="仿宋"/>
                <w:sz w:val="24"/>
                <w:szCs w:val="24"/>
              </w:rPr>
              <w:br w:type="textWrapping"/>
            </w:r>
            <w:r>
              <w:rPr>
                <w:rFonts w:ascii="仿宋" w:hAnsi="仿宋" w:eastAsia="仿宋"/>
                <w:sz w:val="24"/>
                <w:szCs w:val="24"/>
              </w:rPr>
              <w:t>该项得分=（绩效办对应部分考核得分/100）*8</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cs="Arial"/>
                <w:color w:val="auto"/>
                <w:kern w:val="2"/>
                <w:sz w:val="24"/>
                <w:szCs w:val="24"/>
                <w:lang w:val="en-US" w:eastAsia="zh-CN" w:bidi="ar-SA"/>
              </w:rPr>
              <w:t>7</w:t>
            </w:r>
            <w:r>
              <w:rPr>
                <w:rFonts w:ascii="仿宋" w:hAnsi="仿宋" w:eastAsia="仿宋"/>
                <w:sz w:val="24"/>
                <w:szCs w:val="24"/>
              </w:rPr>
              <w:t>　</w:t>
            </w:r>
          </w:p>
        </w:tc>
      </w:tr>
      <w:tr>
        <w:tblPrEx>
          <w:tblCellMar>
            <w:top w:w="0" w:type="dxa"/>
            <w:left w:w="108" w:type="dxa"/>
            <w:bottom w:w="0" w:type="dxa"/>
            <w:right w:w="108" w:type="dxa"/>
          </w:tblCellMar>
        </w:tblPrEx>
        <w:trPr>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10</w:t>
            </w:r>
          </w:p>
        </w:tc>
        <w:tc>
          <w:tcPr>
            <w:tcW w:w="1001"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经济效益</w:t>
            </w:r>
          </w:p>
        </w:tc>
        <w:tc>
          <w:tcPr>
            <w:tcW w:w="455" w:type="dxa"/>
            <w:vMerge w:val="restart"/>
            <w:tcBorders>
              <w:left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10</w:t>
            </w:r>
          </w:p>
        </w:tc>
        <w:tc>
          <w:tcPr>
            <w:tcW w:w="6424" w:type="dxa"/>
            <w:gridSpan w:val="2"/>
            <w:vMerge w:val="restart"/>
            <w:tcBorders>
              <w:top w:val="single" w:color="000000" w:sz="4" w:space="0"/>
              <w:left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此两项指标为设置部门整体支出绩效评价指标时必须考虑的共性要素，可根据部门实际情况有选择的进行设置，并将其细化为相应的个性化指标。</w:t>
            </w:r>
          </w:p>
        </w:tc>
        <w:tc>
          <w:tcPr>
            <w:tcW w:w="628"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6</w:t>
            </w:r>
          </w:p>
        </w:tc>
      </w:tr>
      <w:tr>
        <w:tblPrEx>
          <w:tblCellMar>
            <w:top w:w="0" w:type="dxa"/>
            <w:left w:w="108" w:type="dxa"/>
            <w:bottom w:w="0" w:type="dxa"/>
            <w:right w:w="108" w:type="dxa"/>
          </w:tblCellMar>
        </w:tblPrEx>
        <w:trPr>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社会效益</w:t>
            </w:r>
          </w:p>
        </w:tc>
        <w:tc>
          <w:tcPr>
            <w:tcW w:w="455" w:type="dxa"/>
            <w:vMerge w:val="continue"/>
            <w:tcBorders>
              <w:left w:val="single" w:color="000000" w:sz="4" w:space="0"/>
              <w:right w:val="single" w:color="000000" w:sz="4" w:space="0"/>
            </w:tcBorders>
            <w:vAlign w:val="center"/>
          </w:tcPr>
          <w:p>
            <w:pPr>
              <w:pStyle w:val="4"/>
              <w:widowControl w:val="0"/>
              <w:spacing w:beforeLines="65" w:beforeAutospacing="0" w:afterLines="0" w:afterAutospacing="0"/>
            </w:pPr>
          </w:p>
        </w:tc>
        <w:tc>
          <w:tcPr>
            <w:tcW w:w="6424" w:type="dxa"/>
            <w:gridSpan w:val="2"/>
            <w:vMerge w:val="continue"/>
            <w:tcBorders>
              <w:top w:val="single" w:color="000000" w:sz="4" w:space="0"/>
              <w:left w:val="single" w:color="000000" w:sz="4" w:space="0"/>
              <w:right w:val="single" w:color="000000" w:sz="4" w:space="0"/>
            </w:tcBorders>
            <w:vAlign w:val="center"/>
          </w:tcPr>
          <w:p>
            <w:pPr>
              <w:pStyle w:val="4"/>
              <w:widowControl w:val="0"/>
              <w:spacing w:beforeLines="65" w:beforeAutospacing="0" w:afterLines="0" w:afterAutospacing="0"/>
            </w:pPr>
          </w:p>
        </w:tc>
        <w:tc>
          <w:tcPr>
            <w:tcW w:w="628"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w:t>
            </w:r>
          </w:p>
        </w:tc>
      </w:tr>
      <w:tr>
        <w:tblPrEx>
          <w:tblCellMar>
            <w:top w:w="0" w:type="dxa"/>
            <w:left w:w="108" w:type="dxa"/>
            <w:bottom w:w="0" w:type="dxa"/>
            <w:right w:w="108" w:type="dxa"/>
          </w:tblCellMar>
        </w:tblPrEx>
        <w:trPr>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12</w:t>
            </w: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行政效能</w:t>
            </w:r>
          </w:p>
        </w:tc>
        <w:tc>
          <w:tcPr>
            <w:tcW w:w="455"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6</w:t>
            </w:r>
          </w:p>
        </w:tc>
        <w:tc>
          <w:tcPr>
            <w:tcW w:w="2978"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促进部门改进文风会风，加强经费及资产管理，推动网上办事，提高行政效率，降低行政成本效果较好的计6分；一般3分；无效果或者效果不明显0分。</w:t>
            </w:r>
          </w:p>
        </w:tc>
        <w:tc>
          <w:tcPr>
            <w:tcW w:w="3446"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根据部门自评材料评定。</w:t>
            </w:r>
          </w:p>
        </w:tc>
        <w:tc>
          <w:tcPr>
            <w:tcW w:w="628" w:type="dxa"/>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　3</w:t>
            </w:r>
          </w:p>
        </w:tc>
      </w:tr>
      <w:tr>
        <w:tblPrEx>
          <w:tblCellMar>
            <w:top w:w="0" w:type="dxa"/>
            <w:left w:w="108" w:type="dxa"/>
            <w:bottom w:w="0" w:type="dxa"/>
            <w:right w:w="108" w:type="dxa"/>
          </w:tblCellMar>
        </w:tblPrEx>
        <w:trPr>
          <w:jc w:val="center"/>
        </w:trPr>
        <w:tc>
          <w:tcPr>
            <w:tcW w:w="50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8"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7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01"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社会公众或服务对象满意度</w:t>
            </w:r>
          </w:p>
        </w:tc>
        <w:tc>
          <w:tcPr>
            <w:tcW w:w="45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szCs w:val="24"/>
              </w:rPr>
            </w:pPr>
            <w:r>
              <w:rPr>
                <w:rFonts w:ascii="仿宋" w:hAnsi="仿宋" w:eastAsia="仿宋"/>
                <w:sz w:val="24"/>
                <w:szCs w:val="24"/>
              </w:rPr>
              <w:t>6</w:t>
            </w:r>
          </w:p>
        </w:tc>
        <w:tc>
          <w:tcPr>
            <w:tcW w:w="297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90%（含）以上计6分；</w:t>
            </w:r>
            <w:r>
              <w:rPr>
                <w:rFonts w:ascii="仿宋" w:hAnsi="仿宋" w:eastAsia="仿宋"/>
                <w:sz w:val="24"/>
                <w:szCs w:val="24"/>
              </w:rPr>
              <w:br w:type="textWrapping"/>
            </w:r>
            <w:r>
              <w:rPr>
                <w:rFonts w:ascii="仿宋" w:hAnsi="仿宋" w:eastAsia="仿宋"/>
                <w:sz w:val="24"/>
                <w:szCs w:val="24"/>
              </w:rPr>
              <w:t>80%（含）-90%，计4分；</w:t>
            </w:r>
            <w:r>
              <w:rPr>
                <w:rFonts w:ascii="仿宋" w:hAnsi="仿宋" w:eastAsia="仿宋"/>
                <w:sz w:val="24"/>
                <w:szCs w:val="24"/>
              </w:rPr>
              <w:br w:type="textWrapping"/>
            </w:r>
            <w:r>
              <w:rPr>
                <w:rFonts w:ascii="仿宋" w:hAnsi="仿宋" w:eastAsia="仿宋"/>
                <w:sz w:val="24"/>
                <w:szCs w:val="24"/>
              </w:rPr>
              <w:t>70%（含）-80%，计2分；</w:t>
            </w:r>
            <w:r>
              <w:rPr>
                <w:rFonts w:ascii="仿宋" w:hAnsi="仿宋" w:eastAsia="仿宋"/>
                <w:sz w:val="24"/>
                <w:szCs w:val="24"/>
              </w:rPr>
              <w:br w:type="textWrapping"/>
            </w:r>
            <w:r>
              <w:rPr>
                <w:rFonts w:ascii="仿宋" w:hAnsi="仿宋" w:eastAsia="仿宋"/>
                <w:sz w:val="24"/>
                <w:szCs w:val="24"/>
              </w:rPr>
              <w:t>低于70%计0分。</w:t>
            </w:r>
          </w:p>
        </w:tc>
        <w:tc>
          <w:tcPr>
            <w:tcW w:w="3446"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社会公众或服务对象是指部门（单位）履行职责而影响到的部门、群体或个人，一般采取社会调查的方式。</w:t>
            </w:r>
          </w:p>
        </w:tc>
        <w:tc>
          <w:tcPr>
            <w:tcW w:w="628"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6　</w:t>
            </w:r>
          </w:p>
        </w:tc>
      </w:tr>
    </w:tbl>
    <w:p>
      <w:pPr>
        <w:pStyle w:val="4"/>
        <w:spacing w:line="560" w:lineRule="exact"/>
        <w:rPr>
          <w:rFonts w:ascii="黑体" w:hAnsi="黑体" w:eastAsia="黑体"/>
          <w:sz w:val="28"/>
          <w:szCs w:val="28"/>
        </w:rPr>
      </w:pPr>
      <w:r>
        <w:br w:type="page"/>
      </w:r>
      <w:r>
        <w:rPr>
          <w:rFonts w:ascii="黑体" w:hAnsi="黑体" w:eastAsia="黑体"/>
        </w:rPr>
        <w:t>附件2</w:t>
      </w:r>
    </w:p>
    <w:p>
      <w:pPr>
        <w:pStyle w:val="4"/>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pStyle w:val="4"/>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2"/>
        <w:tblW w:w="10339" w:type="dxa"/>
        <w:jc w:val="center"/>
        <w:tblLayout w:type="fixed"/>
        <w:tblCellMar>
          <w:top w:w="0" w:type="dxa"/>
          <w:left w:w="108" w:type="dxa"/>
          <w:bottom w:w="0" w:type="dxa"/>
          <w:right w:w="108" w:type="dxa"/>
        </w:tblCellMar>
      </w:tblPr>
      <w:tblGrid>
        <w:gridCol w:w="3550"/>
        <w:gridCol w:w="1190"/>
        <w:gridCol w:w="1169"/>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财政供养人员情况</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r>
              <w:rPr>
                <w:rFonts w:hint="eastAsia" w:ascii="仿宋" w:hAnsi="仿宋" w:eastAsia="仿宋"/>
                <w:sz w:val="24"/>
                <w:lang w:val="en-US" w:eastAsia="zh-CN"/>
              </w:rPr>
              <w:t>90</w:t>
            </w:r>
            <w:r>
              <w:rPr>
                <w:rFonts w:ascii="仿宋" w:hAnsi="仿宋" w:eastAsia="仿宋"/>
                <w:sz w:val="24"/>
              </w:rPr>
              <w:t>%</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经费控制情况</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2021年决算数</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三公经费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sz w:val="24"/>
                <w:lang w:val="en-US" w:eastAsia="zh-CN"/>
              </w:rPr>
            </w:pPr>
            <w:r>
              <w:rPr>
                <w:rFonts w:hint="eastAsia" w:ascii="仿宋" w:hAnsi="仿宋" w:eastAsia="仿宋"/>
                <w:sz w:val="24"/>
                <w:lang w:val="en-US" w:eastAsia="zh-CN"/>
              </w:rPr>
              <w:t>0.25</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sz w:val="24"/>
                <w:lang w:val="en-US" w:eastAsia="zh-CN"/>
              </w:rPr>
            </w:pPr>
            <w:r>
              <w:rPr>
                <w:rFonts w:hint="eastAsia" w:ascii="仿宋" w:hAnsi="仿宋" w:eastAsia="仿宋"/>
                <w:sz w:val="24"/>
                <w:lang w:val="en-US" w:eastAsia="zh-CN"/>
              </w:rPr>
              <w:t>0.8</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9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1、公务用车购置和维护经费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其中：公车购置</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公车运行维护</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2、出国经费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3、公务接待</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hint="eastAsia" w:ascii="仿宋" w:hAnsi="仿宋" w:eastAsia="仿宋"/>
                <w:sz w:val="24"/>
                <w:lang w:val="en-US" w:eastAsia="zh-CN"/>
              </w:rPr>
              <w:t>0.25</w:t>
            </w: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sz w:val="24"/>
                <w:lang w:val="en-US" w:eastAsia="zh-CN"/>
              </w:rPr>
            </w:pPr>
            <w:r>
              <w:rPr>
                <w:rFonts w:hint="eastAsia" w:ascii="仿宋" w:hAnsi="仿宋" w:eastAsia="仿宋"/>
                <w:sz w:val="24"/>
                <w:lang w:val="en-US" w:eastAsia="zh-CN"/>
              </w:rPr>
              <w:t>0.8</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9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项目支出：</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1、业务工作专项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2、运行维护专项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公用经费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34.30</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hint="eastAsia" w:ascii="仿宋" w:hAnsi="仿宋" w:eastAsia="仿宋"/>
                <w:sz w:val="24"/>
                <w:lang w:val="en-US" w:eastAsia="zh-CN"/>
              </w:rPr>
              <w:t>22.82</w:t>
            </w: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hint="eastAsia" w:ascii="仿宋" w:hAnsi="仿宋" w:eastAsia="仿宋"/>
                <w:sz w:val="24"/>
                <w:lang w:val="en-US" w:eastAsia="zh-CN"/>
              </w:rPr>
              <w:t>29.37</w:t>
            </w:r>
            <w:r>
              <w:rPr>
                <w:rFonts w:ascii="仿宋" w:hAnsi="仿宋" w:eastAsia="仿宋"/>
                <w:sz w:val="24"/>
              </w:rPr>
              <w:t>　</w:t>
            </w:r>
          </w:p>
        </w:tc>
      </w:tr>
      <w:tr>
        <w:tblPrEx>
          <w:tblCellMar>
            <w:top w:w="0" w:type="dxa"/>
            <w:left w:w="108" w:type="dxa"/>
            <w:bottom w:w="0" w:type="dxa"/>
            <w:right w:w="108" w:type="dxa"/>
          </w:tblCellMar>
        </w:tblPrEx>
        <w:trPr>
          <w:trHeight w:val="39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其中：办公经费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color w:val="FF0000"/>
                <w:sz w:val="24"/>
              </w:rPr>
            </w:pPr>
            <w:r>
              <w:rPr>
                <w:rFonts w:hint="eastAsia" w:ascii="仿宋" w:hAnsi="仿宋" w:eastAsia="仿宋"/>
                <w:color w:val="FF0000"/>
                <w:sz w:val="24"/>
                <w:lang w:val="en-US" w:eastAsia="zh-CN"/>
              </w:rPr>
              <w:t>8.15</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3.36</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6.14</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水费、电费、差旅费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4.31</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2.5</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2.64</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xml:space="preserve">          会议费、培训费</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0.15</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color w:val="FF0000"/>
                <w:sz w:val="24"/>
              </w:rPr>
            </w:pPr>
            <w:r>
              <w:rPr>
                <w:rFonts w:ascii="仿宋" w:hAnsi="仿宋" w:eastAsia="仿宋"/>
                <w:color w:val="FF0000"/>
                <w:sz w:val="24"/>
              </w:rPr>
              <w:t>　0</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color w:val="FF0000"/>
                <w:sz w:val="24"/>
              </w:rPr>
            </w:pPr>
            <w:r>
              <w:rPr>
                <w:rFonts w:hint="eastAsia" w:ascii="仿宋" w:hAnsi="仿宋" w:eastAsia="仿宋"/>
                <w:color w:val="FF0000"/>
                <w:sz w:val="24"/>
                <w:lang w:val="en-US" w:eastAsia="zh-CN"/>
              </w:rPr>
              <w:t>0</w:t>
            </w:r>
            <w:r>
              <w:rPr>
                <w:rFonts w:ascii="仿宋" w:hAnsi="仿宋" w:eastAsia="仿宋"/>
                <w:color w:val="FF0000"/>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政府采购金额</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部门整体支出预算调整</w:t>
            </w:r>
          </w:p>
        </w:tc>
        <w:tc>
          <w:tcPr>
            <w:tcW w:w="2359"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（2021年完工项目）</w:t>
            </w:r>
          </w:p>
        </w:tc>
        <w:tc>
          <w:tcPr>
            <w:tcW w:w="1190"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69"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实际规模（㎡）</w:t>
            </w:r>
          </w:p>
        </w:tc>
        <w:tc>
          <w:tcPr>
            <w:tcW w:w="1130"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规模控制率</w:t>
            </w:r>
          </w:p>
        </w:tc>
        <w:tc>
          <w:tcPr>
            <w:tcW w:w="1465"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预算投资（万元）</w:t>
            </w:r>
          </w:p>
        </w:tc>
        <w:tc>
          <w:tcPr>
            <w:tcW w:w="970"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实际投资（万元）</w:t>
            </w:r>
          </w:p>
        </w:tc>
        <w:tc>
          <w:tcPr>
            <w:tcW w:w="864"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4"/>
              </w:rPr>
            </w:pPr>
            <w:r>
              <w:rPr>
                <w:rFonts w:ascii="仿宋" w:hAnsi="仿宋" w:eastAsia="仿宋"/>
                <w:b/>
                <w:bCs/>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190"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　</w:t>
            </w:r>
          </w:p>
        </w:tc>
        <w:tc>
          <w:tcPr>
            <w:tcW w:w="1169"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w:t>
            </w:r>
          </w:p>
        </w:tc>
        <w:tc>
          <w:tcPr>
            <w:tcW w:w="1130"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w:t>
            </w:r>
          </w:p>
        </w:tc>
        <w:tc>
          <w:tcPr>
            <w:tcW w:w="1465"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w:t>
            </w:r>
          </w:p>
        </w:tc>
        <w:tc>
          <w:tcPr>
            <w:tcW w:w="970"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w:t>
            </w:r>
          </w:p>
        </w:tc>
        <w:tc>
          <w:tcPr>
            <w:tcW w:w="864" w:type="dxa"/>
            <w:tcBorders>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rPr>
            </w:pPr>
            <w:r>
              <w:rPr>
                <w:rFonts w:ascii="仿宋" w:hAnsi="仿宋" w:eastAsia="仿宋"/>
                <w:sz w:val="24"/>
              </w:rPr>
              <w:t>　</w:t>
            </w:r>
          </w:p>
        </w:tc>
      </w:tr>
      <w:tr>
        <w:tblPrEx>
          <w:tblCellMar>
            <w:top w:w="0" w:type="dxa"/>
            <w:left w:w="108" w:type="dxa"/>
            <w:bottom w:w="0" w:type="dxa"/>
            <w:right w:w="108" w:type="dxa"/>
          </w:tblCellMar>
        </w:tblPrEx>
        <w:trPr>
          <w:trHeight w:val="371" w:hRule="atLeast"/>
          <w:jc w:val="center"/>
        </w:trPr>
        <w:tc>
          <w:tcPr>
            <w:tcW w:w="3550"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4"/>
              </w:rPr>
            </w:pPr>
            <w:r>
              <w:rPr>
                <w:rFonts w:ascii="仿宋" w:hAnsi="仿宋" w:eastAsia="仿宋"/>
                <w:sz w:val="24"/>
              </w:rPr>
              <w:t>厉行节约保障措施</w:t>
            </w:r>
          </w:p>
        </w:tc>
        <w:tc>
          <w:tcPr>
            <w:tcW w:w="6788" w:type="dxa"/>
            <w:gridSpan w:val="6"/>
            <w:tcBorders>
              <w:top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宋体" w:hAnsi="宋体" w:eastAsia="宋体"/>
                <w:sz w:val="24"/>
                <w:szCs w:val="28"/>
              </w:rPr>
            </w:pPr>
            <w:r>
              <w:rPr>
                <w:rFonts w:ascii="宋体" w:hAnsi="宋体" w:eastAsia="宋体" w:cs="宋体"/>
                <w:sz w:val="22"/>
                <w:szCs w:val="28"/>
              </w:rPr>
              <w:t>1</w:t>
            </w:r>
            <w:r>
              <w:rPr>
                <w:rFonts w:ascii="宋体" w:hAnsi="宋体" w:eastAsia="宋体" w:cs="宋体"/>
                <w:sz w:val="24"/>
                <w:szCs w:val="28"/>
              </w:rPr>
              <w:t>、树立全员节约意识，领导带头遵守例行节约各项规定，带动全体工作人员自觉树立节约意识。</w:t>
            </w:r>
          </w:p>
          <w:p>
            <w:pPr>
              <w:pStyle w:val="4"/>
              <w:widowControl w:val="0"/>
              <w:jc w:val="left"/>
              <w:rPr>
                <w:rFonts w:ascii="宋体" w:hAnsi="宋体" w:eastAsia="宋体"/>
                <w:sz w:val="24"/>
              </w:rPr>
            </w:pPr>
            <w:r>
              <w:rPr>
                <w:rFonts w:ascii="宋体" w:hAnsi="宋体" w:eastAsia="宋体" w:cs="宋体"/>
                <w:sz w:val="22"/>
                <w:szCs w:val="28"/>
              </w:rPr>
              <w:t>2</w:t>
            </w:r>
            <w:r>
              <w:rPr>
                <w:rFonts w:ascii="宋体" w:hAnsi="宋体" w:eastAsia="宋体" w:cs="宋体"/>
                <w:sz w:val="24"/>
                <w:szCs w:val="28"/>
              </w:rPr>
              <w:t>、严格控制差旅费及公车管理制度，节约办公费，大力提倡电子文档实行无纸化办公及局域网路办公。</w:t>
            </w:r>
            <w:r>
              <w:rPr>
                <w:rFonts w:ascii="宋体" w:hAnsi="宋体" w:eastAsia="宋体"/>
                <w:sz w:val="16"/>
                <w:szCs w:val="32"/>
              </w:rPr>
              <w:t>　</w:t>
            </w:r>
          </w:p>
        </w:tc>
      </w:tr>
    </w:tbl>
    <w:p>
      <w:pPr>
        <w:pStyle w:val="4"/>
        <w:widowControl/>
        <w:jc w:val="left"/>
        <w:rPr>
          <w:rFonts w:ascii="仿宋" w:hAnsi="仿宋" w:eastAsia="仿宋"/>
          <w:sz w:val="16"/>
          <w:szCs w:val="16"/>
        </w:rPr>
      </w:pPr>
    </w:p>
    <w:p>
      <w:pPr>
        <w:pStyle w:val="4"/>
        <w:widowControl/>
        <w:jc w:val="left"/>
        <w:rPr>
          <w:rFonts w:ascii="仿宋" w:hAnsi="仿宋" w:eastAsia="仿宋"/>
          <w:sz w:val="28"/>
          <w:szCs w:val="28"/>
        </w:rPr>
      </w:pPr>
      <w:r>
        <w:rPr>
          <w:rFonts w:ascii="仿宋" w:hAnsi="仿宋" w:eastAsia="仿宋"/>
          <w:sz w:val="28"/>
          <w:szCs w:val="28"/>
        </w:rPr>
        <w:t>说明：“项目支出”需要填报除专项资金和基本支出以外的所有项目情况，包括业务工作项目、运行维护项目等；“公用经费”填报基本支出中的一般商品和服务支出。</w:t>
      </w:r>
    </w:p>
    <w:p>
      <w:pPr>
        <w:pStyle w:val="4"/>
        <w:spacing w:line="600" w:lineRule="exact"/>
        <w:rPr>
          <w:rFonts w:ascii="仿宋" w:hAnsi="仿宋" w:eastAsia="仿宋"/>
          <w:sz w:val="28"/>
          <w:szCs w:val="28"/>
        </w:rPr>
      </w:pPr>
    </w:p>
    <w:p>
      <w:pPr>
        <w:pStyle w:val="4"/>
        <w:spacing w:line="580" w:lineRule="exact"/>
        <w:rPr>
          <w:rFonts w:ascii="仿宋" w:hAnsi="仿宋" w:eastAsia="仿宋"/>
        </w:rPr>
      </w:pPr>
    </w:p>
    <w:p>
      <w:pPr>
        <w:pStyle w:val="4"/>
        <w:spacing w:line="500" w:lineRule="exact"/>
        <w:rPr>
          <w:rFonts w:ascii="仿宋" w:hAnsi="仿宋" w:eastAsia="仿宋"/>
        </w:rPr>
      </w:pPr>
    </w:p>
    <w:p>
      <w:pPr>
        <w:pStyle w:val="4"/>
        <w:widowControl/>
        <w:ind w:left="93"/>
        <w:jc w:val="left"/>
        <w:rPr>
          <w:rFonts w:ascii="黑体" w:hAnsi="黑体" w:eastAsia="黑体"/>
        </w:rPr>
      </w:pPr>
      <w:r>
        <w:rPr>
          <w:rFonts w:ascii="黑体" w:hAnsi="黑体" w:eastAsia="黑体"/>
        </w:rPr>
        <w:t>附件3</w:t>
      </w:r>
    </w:p>
    <w:p>
      <w:pPr>
        <w:pStyle w:val="4"/>
        <w:widowControl/>
        <w:ind w:left="93"/>
        <w:jc w:val="center"/>
        <w:rPr>
          <w:rFonts w:ascii="仿宋" w:hAnsi="仿宋" w:eastAsia="仿宋"/>
          <w:sz w:val="36"/>
          <w:szCs w:val="36"/>
        </w:rPr>
      </w:pPr>
      <w:r>
        <w:rPr>
          <w:rFonts w:ascii="仿宋" w:hAnsi="仿宋" w:eastAsia="仿宋"/>
          <w:sz w:val="36"/>
          <w:szCs w:val="36"/>
        </w:rPr>
        <w:t>县级财政专项资金绩效评价共性指标表</w:t>
      </w:r>
    </w:p>
    <w:p>
      <w:pPr>
        <w:pStyle w:val="4"/>
        <w:widowControl/>
        <w:tabs>
          <w:tab w:val="left" w:pos="833"/>
          <w:tab w:val="left" w:pos="1533"/>
          <w:tab w:val="left" w:pos="2533"/>
          <w:tab w:val="left" w:pos="4833"/>
        </w:tabs>
        <w:ind w:left="93"/>
        <w:jc w:val="left"/>
        <w:rPr>
          <w:rFonts w:ascii="仿宋" w:hAnsi="仿宋" w:eastAsia="仿宋"/>
          <w:sz w:val="24"/>
        </w:rPr>
      </w:pPr>
    </w:p>
    <w:tbl>
      <w:tblPr>
        <w:tblStyle w:val="2"/>
        <w:tblW w:w="10047" w:type="dxa"/>
        <w:jc w:val="center"/>
        <w:tblLayout w:type="fixed"/>
        <w:tblCellMar>
          <w:top w:w="0" w:type="dxa"/>
          <w:left w:w="108" w:type="dxa"/>
          <w:bottom w:w="0" w:type="dxa"/>
          <w:right w:w="108" w:type="dxa"/>
        </w:tblCellMar>
      </w:tblPr>
      <w:tblGrid>
        <w:gridCol w:w="741"/>
        <w:gridCol w:w="804"/>
        <w:gridCol w:w="1056"/>
        <w:gridCol w:w="2463"/>
        <w:gridCol w:w="4369"/>
        <w:gridCol w:w="613"/>
      </w:tblGrid>
      <w:tr>
        <w:tblPrEx>
          <w:tblCellMar>
            <w:top w:w="0" w:type="dxa"/>
            <w:left w:w="108" w:type="dxa"/>
            <w:bottom w:w="0" w:type="dxa"/>
            <w:right w:w="108"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一级</w:t>
            </w:r>
          </w:p>
        </w:tc>
        <w:tc>
          <w:tcPr>
            <w:tcW w:w="804" w:type="dxa"/>
            <w:tcBorders>
              <w:top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三级指标</w:t>
            </w:r>
          </w:p>
        </w:tc>
        <w:tc>
          <w:tcPr>
            <w:tcW w:w="2463"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指标解释</w:t>
            </w:r>
          </w:p>
        </w:tc>
        <w:tc>
          <w:tcPr>
            <w:tcW w:w="4369"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指标说明</w:t>
            </w:r>
          </w:p>
        </w:tc>
        <w:tc>
          <w:tcPr>
            <w:tcW w:w="613" w:type="dxa"/>
            <w:vMerge w:val="restart"/>
            <w:tcBorders>
              <w:top w:val="single" w:color="000000" w:sz="4" w:space="0"/>
              <w:left w:val="single" w:color="000000" w:sz="4" w:space="0"/>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sz w:val="24"/>
                <w:szCs w:val="24"/>
              </w:rPr>
              <w:t>得分</w:t>
            </w:r>
          </w:p>
        </w:tc>
      </w:tr>
      <w:tr>
        <w:tblPrEx>
          <w:tblCellMar>
            <w:top w:w="0" w:type="dxa"/>
            <w:left w:w="108" w:type="dxa"/>
            <w:bottom w:w="0" w:type="dxa"/>
            <w:right w:w="108"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指标</w:t>
            </w:r>
          </w:p>
        </w:tc>
        <w:tc>
          <w:tcPr>
            <w:tcW w:w="804"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b/>
                <w:bCs/>
                <w:sz w:val="20"/>
                <w:szCs w:val="20"/>
              </w:rPr>
            </w:pPr>
            <w:r>
              <w:rPr>
                <w:rFonts w:ascii="仿宋" w:hAns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vMerge w:val="continue"/>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13" w:type="dxa"/>
            <w:vMerge w:val="continue"/>
            <w:tcBorders>
              <w:top w:val="single" w:color="000000" w:sz="4" w:space="0"/>
              <w:left w:val="single" w:color="000000" w:sz="4" w:space="0"/>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pPr>
          </w:p>
        </w:tc>
      </w:tr>
      <w:tr>
        <w:tblPrEx>
          <w:tblCellMar>
            <w:top w:w="0" w:type="dxa"/>
            <w:left w:w="108" w:type="dxa"/>
            <w:bottom w:w="0" w:type="dxa"/>
            <w:right w:w="108" w:type="dxa"/>
          </w:tblCellMar>
        </w:tblPrEx>
        <w:trPr>
          <w:jc w:val="center"/>
        </w:trPr>
        <w:tc>
          <w:tcPr>
            <w:tcW w:w="74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投入</w:t>
            </w:r>
          </w:p>
          <w:p>
            <w:pPr>
              <w:pStyle w:val="4"/>
              <w:widowControl w:val="0"/>
              <w:spacing w:line="280" w:lineRule="exact"/>
              <w:jc w:val="center"/>
              <w:rPr>
                <w:rFonts w:ascii="仿宋" w:hAnsi="仿宋" w:eastAsia="仿宋"/>
                <w:sz w:val="22"/>
                <w:szCs w:val="22"/>
              </w:rPr>
            </w:pPr>
            <w:r>
              <w:rPr>
                <w:rFonts w:ascii="仿宋" w:hAnsi="仿宋" w:eastAsia="仿宋"/>
                <w:sz w:val="22"/>
                <w:szCs w:val="22"/>
              </w:rPr>
              <w:t>（20分）</w:t>
            </w:r>
          </w:p>
        </w:tc>
        <w:tc>
          <w:tcPr>
            <w:tcW w:w="804"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项目立项</w:t>
            </w:r>
          </w:p>
          <w:p>
            <w:pPr>
              <w:pStyle w:val="4"/>
              <w:widowControl w:val="0"/>
              <w:spacing w:line="280" w:lineRule="exact"/>
              <w:jc w:val="center"/>
              <w:rPr>
                <w:rFonts w:ascii="仿宋" w:hAnsi="仿宋" w:eastAsia="仿宋"/>
                <w:sz w:val="22"/>
                <w:szCs w:val="22"/>
              </w:rPr>
            </w:pPr>
            <w:r>
              <w:rPr>
                <w:rFonts w:ascii="仿宋" w:hAnsi="仿宋" w:eastAsia="仿宋"/>
                <w:sz w:val="22"/>
                <w:szCs w:val="22"/>
              </w:rPr>
              <w:t>（12分）</w:t>
            </w: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项目立项规范性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项目的申请、设立过程是否符合相关要求，用以反映和考核项目立项的规范情况。</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①项目是否按照规定的程序申请设立；</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②所提交的文件、材料是否符合相关要求；</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③事前是否已经过必要的可行性研究、专家论证、风险评估、集体决策等。</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绩效目标合理性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项目所设定的绩效目标是否依椐充分，是否符合客观实际，用以反映和考核项目绩效目标与项目实施的相符情况。</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①是否符合国家相关法律法规，国民经济发展规划和党委政府决策；</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②是否与项目实施单位或委托单位职责密切相关；</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③项目是否为促进事业发展所必需；</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④项目顸期产出效益和效果是否符合正常的业绩水平。</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绩效指标明确性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依椐绩效目标设定的绩效指标是否清晰、细化、可衡量等，用以反映和考核项目绩效目标的明细化情况。</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①是否将项目绩效目标细化分解为具体的绩效指标；</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②是否通过清晰、可衡量的指标值予以体现；</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③是否与项目年度任务数或计划数相对应；</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④是否与预期确定的项目投资额或资金量相匹配。</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资金落实</w:t>
            </w:r>
          </w:p>
          <w:p>
            <w:pPr>
              <w:pStyle w:val="4"/>
              <w:widowControl w:val="0"/>
              <w:spacing w:line="280" w:lineRule="exact"/>
              <w:jc w:val="center"/>
              <w:rPr>
                <w:rFonts w:ascii="仿宋" w:hAnsi="仿宋" w:eastAsia="仿宋"/>
                <w:sz w:val="22"/>
                <w:szCs w:val="22"/>
              </w:rPr>
            </w:pPr>
            <w:r>
              <w:rPr>
                <w:rFonts w:ascii="仿宋" w:hAnsi="仿宋" w:eastAsia="仿宋"/>
                <w:sz w:val="22"/>
                <w:szCs w:val="22"/>
              </w:rPr>
              <w:t>（8分）</w:t>
            </w: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资金到位率</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实际到位资金与计划投入资金的比率，用以反映和考核资金落实情况对项目实施的总体保障程度。</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资金到位率=（实际到位资金/计划投入资金）×100%。</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实际到位资金：一定时期（本年度或项目期）内实际落实到具体项目的资金。</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计划投入资金：一定时期（本年度或项目期）内计划投入到具体项目的资金。</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到位及时率</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及时到位资金与应到位资金的比率，用以反映和考核项目资金落实的及时性程度。</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到位及时率＝（及时到位资金/应到位资金）×100%。</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及时到位资金：截至规定时点实际落实到具体项目的资金。</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应到位资金：按照合同或项目进度要求截至规定时点应落实到具体项目的资金。</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过程</w:t>
            </w:r>
          </w:p>
          <w:p>
            <w:pPr>
              <w:pStyle w:val="4"/>
              <w:widowControl w:val="0"/>
              <w:spacing w:line="280" w:lineRule="exact"/>
              <w:jc w:val="center"/>
              <w:rPr>
                <w:rFonts w:ascii="仿宋" w:hAnsi="仿宋" w:eastAsia="仿宋"/>
                <w:sz w:val="22"/>
                <w:szCs w:val="22"/>
              </w:rPr>
            </w:pPr>
            <w:r>
              <w:rPr>
                <w:rFonts w:ascii="仿宋" w:hAnsi="仿宋" w:eastAsia="仿宋"/>
                <w:sz w:val="22"/>
                <w:szCs w:val="22"/>
              </w:rPr>
              <w:t>（30分）</w:t>
            </w:r>
          </w:p>
        </w:tc>
        <w:tc>
          <w:tcPr>
            <w:tcW w:w="804"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业务管理</w:t>
            </w:r>
          </w:p>
          <w:p>
            <w:pPr>
              <w:pStyle w:val="4"/>
              <w:widowControl w:val="0"/>
              <w:spacing w:line="280" w:lineRule="exact"/>
              <w:jc w:val="center"/>
              <w:rPr>
                <w:rFonts w:ascii="仿宋" w:hAnsi="仿宋" w:eastAsia="仿宋"/>
                <w:sz w:val="22"/>
                <w:szCs w:val="22"/>
              </w:rPr>
            </w:pPr>
            <w:r>
              <w:rPr>
                <w:rFonts w:ascii="仿宋" w:hAnsi="仿宋" w:eastAsia="仿宋"/>
                <w:sz w:val="22"/>
                <w:szCs w:val="22"/>
              </w:rPr>
              <w:t>（10分）</w:t>
            </w: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管理制度健全性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项目实施单位的业务管理制度是否健全，用以反映和考核业务管理制度对项目顺利实施的保障情况。</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①是否已制定或具有相应的业务管理制度；</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②业务管理制度是否合法、合规、完整。</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jc w:val="center"/>
              <w:rPr>
                <w:rFonts w:ascii="仿宋" w:hAnsi="仿宋" w:eastAsia="仿宋"/>
                <w:sz w:val="22"/>
                <w:szCs w:val="22"/>
              </w:rPr>
            </w:pPr>
            <w:r>
              <w:rPr>
                <w:rFonts w:ascii="仿宋" w:hAnsi="仿宋" w:eastAsia="仿宋"/>
                <w:sz w:val="22"/>
                <w:szCs w:val="22"/>
              </w:rPr>
              <w:t>制度执行有效性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项目实施是否符合相关业务管理规定，用以反映和考核业务管理制度的有效执行情况。</w:t>
            </w: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①是否遵守相关法律法规和业务管理规定；</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②项目调整及支出调整手续是否完备；</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③项目合同书、验收报告、技术审定等资料是否齐全并及时归档;</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line="280" w:lineRule="exact"/>
              <w:rPr>
                <w:rFonts w:ascii="仿宋" w:hAnsi="仿宋" w:eastAsia="仿宋"/>
                <w:sz w:val="24"/>
                <w:szCs w:val="24"/>
              </w:rPr>
            </w:pPr>
            <w:r>
              <w:rPr>
                <w:rFonts w:ascii="仿宋" w:hAnsi="仿宋" w:eastAsia="仿宋"/>
                <w:sz w:val="24"/>
                <w:szCs w:val="24"/>
              </w:rPr>
              <w:t>④项目实施的人员条件、场地设备，信息支撑等是否落实到位。</w:t>
            </w:r>
          </w:p>
          <w:p>
            <w:pPr>
              <w:pStyle w:val="4"/>
              <w:widowControl w:val="0"/>
              <w:spacing w:line="280" w:lineRule="exact"/>
              <w:rPr>
                <w:rFonts w:ascii="仿宋" w:hAnsi="仿宋" w:eastAsia="仿宋"/>
                <w:sz w:val="24"/>
                <w:szCs w:val="24"/>
              </w:rPr>
            </w:pP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line="280" w:lineRule="exac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过程</w:t>
            </w:r>
          </w:p>
          <w:p>
            <w:pPr>
              <w:pStyle w:val="4"/>
              <w:widowControl w:val="0"/>
              <w:jc w:val="center"/>
              <w:rPr>
                <w:rFonts w:ascii="仿宋" w:hAnsi="仿宋" w:eastAsia="仿宋"/>
                <w:sz w:val="22"/>
                <w:szCs w:val="22"/>
              </w:rPr>
            </w:pPr>
            <w:r>
              <w:rPr>
                <w:rFonts w:ascii="仿宋" w:hAns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2"/>
                <w:szCs w:val="22"/>
              </w:rPr>
            </w:pPr>
            <w:r>
              <w:rPr>
                <w:rFonts w:ascii="仿宋" w:hAnsi="仿宋" w:eastAsia="仿宋"/>
                <w:sz w:val="22"/>
                <w:szCs w:val="22"/>
              </w:rPr>
              <w:t>业务管理</w:t>
            </w:r>
          </w:p>
          <w:p>
            <w:pPr>
              <w:pStyle w:val="4"/>
              <w:widowControl w:val="0"/>
              <w:jc w:val="left"/>
              <w:rPr>
                <w:rFonts w:ascii="仿宋" w:hAnsi="仿宋" w:eastAsia="仿宋"/>
                <w:sz w:val="22"/>
                <w:szCs w:val="22"/>
              </w:rPr>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项目质量可控性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项目实施单位是否为达到项目质量要求而采取了必需的措施，用以反映和考核项目实施单位对项目质量的控制情况。</w:t>
            </w: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①是否已制定或其有相应的项目质量要求或标准；</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②是否采取了相应的项目质量检查、验收等必需的控制措施或手段。</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财务管理</w:t>
            </w:r>
          </w:p>
          <w:p>
            <w:pPr>
              <w:pStyle w:val="4"/>
              <w:widowControl w:val="0"/>
              <w:jc w:val="center"/>
              <w:rPr>
                <w:rFonts w:ascii="仿宋" w:hAnsi="仿宋" w:eastAsia="仿宋"/>
                <w:sz w:val="22"/>
                <w:szCs w:val="22"/>
              </w:rPr>
            </w:pPr>
            <w:r>
              <w:rPr>
                <w:rFonts w:ascii="仿宋" w:hAnsi="仿宋" w:eastAsia="仿宋"/>
                <w:sz w:val="22"/>
                <w:szCs w:val="22"/>
              </w:rPr>
              <w:t>（20分）</w:t>
            </w: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管理制度健全性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项目实施单位的财务制度是否健全，用以反映和考核财务管理制度对资金规范安全运行的保障情况。</w:t>
            </w: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①是否已制定或具有相应的项目资金管理办法；</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②项目资金管理办法是否符合相关财务会计制度的规定。</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资金使用合规性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项目资金使用是否符合相关的财务管理制度规定，用以反映和考核项目资金的规范运行情况。</w:t>
            </w: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①是否符合国家财经法规和财务管理以及有关专项资金管理办法的规定；</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②资金的拨付是否有完整的审批程序和手续；</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③项目的重大开支是否经过评估认证；</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④是否符合项目预算批复或合同规定的用途；</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⑤是否存在截留、挤占、挪用、虚列支出等情况。</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财务监控有效性</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项目实施单位是否为保障资金的安全、规范运行而采取了必要的监控措施，用以反映和考核项目实施单位对资金运行的控制情况。</w:t>
            </w: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评价要点：</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①是否已制定或具有相应的监控机制；</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②是否采取了相应的财务检查等必要的监控措施或手段。</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产出</w:t>
            </w:r>
          </w:p>
          <w:p>
            <w:pPr>
              <w:pStyle w:val="4"/>
              <w:widowControl w:val="0"/>
              <w:jc w:val="center"/>
              <w:rPr>
                <w:rFonts w:ascii="仿宋" w:hAnsi="仿宋" w:eastAsia="仿宋"/>
                <w:sz w:val="22"/>
                <w:szCs w:val="22"/>
              </w:rPr>
            </w:pPr>
            <w:r>
              <w:rPr>
                <w:rFonts w:ascii="仿宋" w:hAnsi="仿宋" w:eastAsia="仿宋"/>
                <w:sz w:val="22"/>
                <w:szCs w:val="22"/>
              </w:rPr>
              <w:t>（30分）</w:t>
            </w:r>
          </w:p>
        </w:tc>
        <w:tc>
          <w:tcPr>
            <w:tcW w:w="804"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项目产出</w:t>
            </w:r>
          </w:p>
          <w:p>
            <w:pPr>
              <w:pStyle w:val="4"/>
              <w:widowControl w:val="0"/>
              <w:jc w:val="center"/>
              <w:rPr>
                <w:rFonts w:ascii="仿宋" w:hAnsi="仿宋" w:eastAsia="仿宋"/>
                <w:sz w:val="22"/>
                <w:szCs w:val="22"/>
              </w:rPr>
            </w:pPr>
            <w:r>
              <w:rPr>
                <w:rFonts w:ascii="仿宋" w:hAnsi="仿宋" w:eastAsia="仿宋"/>
                <w:sz w:val="22"/>
                <w:szCs w:val="22"/>
              </w:rPr>
              <w:t>（30分）</w:t>
            </w: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实际完成率</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项目实施的实际产出数与计划产出数的比率，用以反映和考核项目产出数量目标的实现程度。</w:t>
            </w: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实际完成率＝（实际产出数/计划产出数）×100%。</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实际产出数：一定时期（本年度或项目期）内项目实际产出的产品或提供的服务数。</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计划产出数：项目绩效目标确定的在一定时期（本年度或项目期）内计划产出的产品或提供的服务数量。</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完成及时率</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项目实际提前完成时间与计划完成时间的比率，用以反映和考核项目产出时效目标的实现程度</w:t>
            </w: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完成及时率[ (计划完成时间-实际完成时间）/计划完成时间]</w:t>
            </w:r>
            <w:r>
              <w:rPr>
                <w:rFonts w:ascii="宋体" w:hAnsi="宋体" w:cs="宋体"/>
                <w:sz w:val="24"/>
                <w:szCs w:val="24"/>
              </w:rPr>
              <w:t> </w:t>
            </w:r>
            <w:r>
              <w:rPr>
                <w:rFonts w:ascii="仿宋" w:hAnsi="仿宋" w:eastAsia="仿宋"/>
                <w:sz w:val="24"/>
                <w:szCs w:val="24"/>
              </w:rPr>
              <w:t>×100%。</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实际完成时间：项目实施单位完成该项目实际所耗用的时间。</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计划完成时间：按照项目实施计划或相关规定完成该项目所需的时间。</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质量达标率</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项目完成的质量达标产出数与实际产出数的比率，用以反映和考核项目产出质量目标的实现程度。</w:t>
            </w: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质量达标率＝（质量达标产出数/实际产出数）/100%。</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质量达标产出数：一定时期（本年度或项目期）内实际达到既定质量标准的产品或服务数量。</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既定质量标准是指项目实施单位设立绩效目标时依据计划标准、行业标准、历史标准或其他标准而设定的绩效指标值。</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成本节约率</w:t>
            </w:r>
          </w:p>
        </w:tc>
        <w:tc>
          <w:tcPr>
            <w:tcW w:w="2463"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完成项目计划工作目标的实际节约成本与计划成本的比率，用以反映和考核项目的成本节约程度。</w:t>
            </w: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成本节约率＝(计划成本-实际成本)</w:t>
            </w:r>
            <w:r>
              <w:rPr>
                <w:rFonts w:ascii="宋体" w:hAnsi="宋体" w:cs="宋体"/>
                <w:sz w:val="24"/>
                <w:szCs w:val="24"/>
              </w:rPr>
              <w:t> </w:t>
            </w:r>
            <w:r>
              <w:rPr>
                <w:rFonts w:ascii="仿宋" w:hAnsi="仿宋" w:eastAsia="仿宋"/>
                <w:sz w:val="24"/>
                <w:szCs w:val="24"/>
              </w:rPr>
              <w:t>/计划成本×100%。</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right w:val="single" w:color="000000" w:sz="4" w:space="0"/>
            </w:tcBorders>
            <w:vAlign w:val="center"/>
          </w:tcPr>
          <w:p>
            <w:pPr>
              <w:pStyle w:val="4"/>
              <w:widowControl w:val="0"/>
              <w:spacing w:beforeLines="65" w:beforeAutospacing="0" w:afterLines="0" w:afterAutospacing="0"/>
              <w:jc w:val="left"/>
              <w:rPr>
                <w:rFonts w:ascii="仿宋" w:hAnsi="仿宋" w:eastAsia="仿宋"/>
                <w:sz w:val="24"/>
                <w:szCs w:val="24"/>
              </w:rPr>
            </w:pPr>
            <w:r>
              <w:rPr>
                <w:rFonts w:ascii="仿宋" w:hAnsi="仿宋" w:eastAsia="仿宋"/>
                <w:sz w:val="24"/>
                <w:szCs w:val="24"/>
              </w:rPr>
              <w:t>实际成本：项目实施单位如期、保质、保量完成既定工作目标实际所耗费的支出。</w:t>
            </w:r>
          </w:p>
        </w:tc>
        <w:tc>
          <w:tcPr>
            <w:tcW w:w="613" w:type="dxa"/>
            <w:tcBorders>
              <w:right w:val="single" w:color="000000" w:sz="4" w:space="0"/>
            </w:tcBorders>
            <w:tcMar>
              <w:left w:w="10" w:type="dxa"/>
              <w:right w:w="10" w:type="dxa"/>
            </w:tcMar>
            <w:vAlign w:val="center"/>
          </w:tcPr>
          <w:p>
            <w:pPr>
              <w:pStyle w:val="4"/>
              <w:widowControl w:val="0"/>
              <w:spacing w:beforeLines="65" w:beforeAutospacing="0" w:afterLines="0" w:afterAutospacing="0"/>
              <w:jc w:val="left"/>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2463"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计划成本：项目实施单位为完成工作目标计划安排的支出，一般以项目预算为参考。</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效果</w:t>
            </w:r>
          </w:p>
          <w:p>
            <w:pPr>
              <w:pStyle w:val="4"/>
              <w:widowControl w:val="0"/>
              <w:jc w:val="center"/>
              <w:rPr>
                <w:rFonts w:ascii="仿宋" w:hAnsi="仿宋" w:eastAsia="仿宋"/>
                <w:sz w:val="22"/>
                <w:szCs w:val="22"/>
              </w:rPr>
            </w:pPr>
            <w:r>
              <w:rPr>
                <w:rFonts w:ascii="仿宋" w:hAnsi="仿宋" w:eastAsia="仿宋"/>
                <w:sz w:val="22"/>
                <w:szCs w:val="22"/>
              </w:rPr>
              <w:t>（20分）</w:t>
            </w:r>
          </w:p>
        </w:tc>
        <w:tc>
          <w:tcPr>
            <w:tcW w:w="804"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项目效益</w:t>
            </w:r>
          </w:p>
          <w:p>
            <w:pPr>
              <w:pStyle w:val="4"/>
              <w:widowControl w:val="0"/>
              <w:jc w:val="center"/>
              <w:rPr>
                <w:rFonts w:ascii="仿宋" w:hAnsi="仿宋" w:eastAsia="仿宋"/>
                <w:sz w:val="22"/>
                <w:szCs w:val="22"/>
              </w:rPr>
            </w:pPr>
            <w:r>
              <w:rPr>
                <w:rFonts w:ascii="仿宋" w:hAnsi="仿宋" w:eastAsia="仿宋"/>
                <w:sz w:val="22"/>
                <w:szCs w:val="22"/>
              </w:rPr>
              <w:t>（20分）</w:t>
            </w:r>
          </w:p>
        </w:tc>
        <w:tc>
          <w:tcPr>
            <w:tcW w:w="1056"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经济效益</w:t>
            </w:r>
          </w:p>
        </w:tc>
        <w:tc>
          <w:tcPr>
            <w:tcW w:w="2463"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项目实施对经济发展所带来的直接或间接影响情况。</w:t>
            </w:r>
          </w:p>
        </w:tc>
        <w:tc>
          <w:tcPr>
            <w:tcW w:w="4369" w:type="dxa"/>
            <w:vMerge w:val="restart"/>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3" w:type="dxa"/>
            <w:tcBorders>
              <w:left w:val="single" w:color="000000" w:sz="4" w:space="0"/>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社会效益</w:t>
            </w:r>
          </w:p>
        </w:tc>
        <w:tc>
          <w:tcPr>
            <w:tcW w:w="2463"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项目实施对社会发展所带来的直接或间接影响情况。</w:t>
            </w:r>
          </w:p>
        </w:tc>
        <w:tc>
          <w:tcPr>
            <w:tcW w:w="4369"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13" w:type="dxa"/>
            <w:tcBorders>
              <w:left w:val="single" w:color="000000" w:sz="4" w:space="0"/>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生态效益</w:t>
            </w:r>
          </w:p>
        </w:tc>
        <w:tc>
          <w:tcPr>
            <w:tcW w:w="2463"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项目实施对生态环境所带来的直接或间接影响情况。</w:t>
            </w:r>
          </w:p>
        </w:tc>
        <w:tc>
          <w:tcPr>
            <w:tcW w:w="4369"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13" w:type="dxa"/>
            <w:tcBorders>
              <w:left w:val="single" w:color="000000" w:sz="4" w:space="0"/>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可持续影响</w:t>
            </w:r>
          </w:p>
        </w:tc>
        <w:tc>
          <w:tcPr>
            <w:tcW w:w="2463"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项目后续运行及成效发挥的可持续影响情况。</w:t>
            </w:r>
          </w:p>
        </w:tc>
        <w:tc>
          <w:tcPr>
            <w:tcW w:w="4369"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613" w:type="dxa"/>
            <w:tcBorders>
              <w:left w:val="single" w:color="000000" w:sz="4" w:space="0"/>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pPr>
          </w:p>
        </w:tc>
      </w:tr>
      <w:tr>
        <w:tblPrEx>
          <w:tblCellMar>
            <w:top w:w="0" w:type="dxa"/>
            <w:left w:w="108" w:type="dxa"/>
            <w:bottom w:w="0" w:type="dxa"/>
            <w:right w:w="108" w:type="dxa"/>
          </w:tblCellMar>
        </w:tblPrEx>
        <w:trPr>
          <w:jc w:val="center"/>
        </w:trPr>
        <w:tc>
          <w:tcPr>
            <w:tcW w:w="741"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804" w:type="dxa"/>
            <w:vMerge w:val="continue"/>
            <w:tcBorders>
              <w:left w:val="single" w:color="000000" w:sz="4" w:space="0"/>
              <w:bottom w:val="single" w:color="000000" w:sz="4" w:space="0"/>
              <w:right w:val="single" w:color="000000" w:sz="4" w:space="0"/>
            </w:tcBorders>
            <w:vAlign w:val="center"/>
          </w:tcPr>
          <w:p>
            <w:pPr>
              <w:pStyle w:val="4"/>
              <w:widowControl w:val="0"/>
              <w:spacing w:beforeLines="65" w:beforeAutospacing="0" w:afterLines="0" w:afterAutospacing="0"/>
            </w:pPr>
          </w:p>
        </w:tc>
        <w:tc>
          <w:tcPr>
            <w:tcW w:w="1056" w:type="dxa"/>
            <w:tcBorders>
              <w:bottom w:val="single" w:color="000000" w:sz="4" w:space="0"/>
              <w:right w:val="single" w:color="000000" w:sz="4" w:space="0"/>
            </w:tcBorders>
            <w:vAlign w:val="center"/>
          </w:tcPr>
          <w:p>
            <w:pPr>
              <w:pStyle w:val="4"/>
              <w:widowControl w:val="0"/>
              <w:spacing w:beforeLines="65" w:beforeAutospacing="0" w:afterLines="0" w:afterAutospacing="0"/>
              <w:jc w:val="center"/>
              <w:rPr>
                <w:rFonts w:ascii="仿宋" w:hAnsi="仿宋" w:eastAsia="仿宋"/>
                <w:sz w:val="22"/>
                <w:szCs w:val="22"/>
              </w:rPr>
            </w:pPr>
            <w:r>
              <w:rPr>
                <w:rFonts w:ascii="仿宋" w:hAnsi="仿宋" w:eastAsia="仿宋"/>
                <w:sz w:val="22"/>
                <w:szCs w:val="22"/>
              </w:rPr>
              <w:t>社会公众或服务对象满意度</w:t>
            </w:r>
          </w:p>
        </w:tc>
        <w:tc>
          <w:tcPr>
            <w:tcW w:w="2463"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社会公众或服务对象对项目实施效策的满意程度</w:t>
            </w:r>
          </w:p>
        </w:tc>
        <w:tc>
          <w:tcPr>
            <w:tcW w:w="4369" w:type="dxa"/>
            <w:tcBorders>
              <w:bottom w:val="single" w:color="000000" w:sz="4" w:space="0"/>
              <w:right w:val="single" w:color="000000" w:sz="4" w:space="0"/>
            </w:tcBorders>
            <w:vAlign w:val="center"/>
          </w:tcPr>
          <w:p>
            <w:pPr>
              <w:pStyle w:val="4"/>
              <w:widowControl w:val="0"/>
              <w:spacing w:beforeLines="65" w:beforeAutospacing="0" w:afterLines="0" w:afterAutospacing="0"/>
              <w:rPr>
                <w:rFonts w:ascii="仿宋" w:hAnsi="仿宋" w:eastAsia="仿宋"/>
                <w:sz w:val="24"/>
                <w:szCs w:val="24"/>
              </w:rPr>
            </w:pPr>
            <w:r>
              <w:rPr>
                <w:rFonts w:ascii="仿宋" w:hAnsi="仿宋" w:eastAsia="仿宋"/>
                <w:sz w:val="24"/>
                <w:szCs w:val="24"/>
              </w:rPr>
              <w:t>社会公众或服务对象是指因该项目实施而受到影响的部门(单位)、群体或个人。一般采取社会调查的方式。</w:t>
            </w:r>
          </w:p>
        </w:tc>
        <w:tc>
          <w:tcPr>
            <w:tcW w:w="613" w:type="dxa"/>
            <w:tcBorders>
              <w:bottom w:val="single" w:color="000000" w:sz="4" w:space="0"/>
              <w:right w:val="single" w:color="000000" w:sz="4" w:space="0"/>
            </w:tcBorders>
            <w:tcMar>
              <w:left w:w="10" w:type="dxa"/>
              <w:right w:w="10" w:type="dxa"/>
            </w:tcMar>
            <w:vAlign w:val="center"/>
          </w:tcPr>
          <w:p>
            <w:pPr>
              <w:pStyle w:val="4"/>
              <w:widowControl w:val="0"/>
              <w:spacing w:beforeLines="65" w:beforeAutospacing="0" w:afterLines="0" w:afterAutospacing="0"/>
              <w:rPr>
                <w:rFonts w:ascii="仿宋" w:hAnsi="仿宋" w:eastAsia="仿宋"/>
                <w:sz w:val="24"/>
                <w:szCs w:val="24"/>
              </w:rPr>
            </w:pPr>
          </w:p>
        </w:tc>
      </w:tr>
    </w:tbl>
    <w:p>
      <w:pPr>
        <w:pStyle w:val="4"/>
        <w:widowControl/>
        <w:ind w:left="93"/>
        <w:jc w:val="left"/>
        <w:rPr>
          <w:rFonts w:ascii="黑体" w:hAnsi="黑体" w:eastAsia="黑体"/>
        </w:rPr>
      </w:pPr>
    </w:p>
    <w:p>
      <w:pPr>
        <w:pStyle w:val="4"/>
        <w:widowControl/>
        <w:ind w:left="93"/>
        <w:jc w:val="left"/>
        <w:rPr>
          <w:rFonts w:ascii="黑体" w:hAnsi="黑体" w:eastAsia="黑体"/>
        </w:rPr>
      </w:pPr>
    </w:p>
    <w:p>
      <w:pPr>
        <w:pStyle w:val="4"/>
        <w:widowControl/>
        <w:ind w:left="93"/>
        <w:jc w:val="left"/>
        <w:rPr>
          <w:rFonts w:ascii="黑体" w:hAnsi="黑体" w:eastAsia="黑体"/>
        </w:rPr>
      </w:pPr>
    </w:p>
    <w:p>
      <w:pPr>
        <w:pStyle w:val="4"/>
        <w:widowControl/>
        <w:ind w:left="93"/>
        <w:jc w:val="left"/>
        <w:rPr>
          <w:rFonts w:ascii="黑体" w:hAnsi="黑体" w:eastAsia="黑体"/>
        </w:rPr>
      </w:pPr>
      <w:r>
        <w:rPr>
          <w:rFonts w:ascii="黑体" w:hAnsi="黑体" w:eastAsia="黑体"/>
        </w:rPr>
        <w:t>附件4</w:t>
      </w:r>
    </w:p>
    <w:p>
      <w:pPr>
        <w:pStyle w:val="4"/>
        <w:spacing w:beforeLines="0" w:beforeAutospacing="0" w:afterLines="0" w:afterAutospacing="0" w:line="580" w:lineRule="exact"/>
        <w:contextualSpacing/>
        <w:jc w:val="center"/>
        <w:rPr>
          <w:rFonts w:hint="eastAsia"/>
          <w:b/>
          <w:bCs/>
          <w:sz w:val="44"/>
          <w:szCs w:val="44"/>
          <w:u w:val="single" w:color="FFFFFF"/>
          <w:lang w:val="en-US" w:eastAsia="zh-CN"/>
        </w:rPr>
      </w:pPr>
      <w:r>
        <w:rPr>
          <w:b/>
          <w:bCs/>
          <w:sz w:val="44"/>
          <w:szCs w:val="44"/>
          <w:u w:val="single" w:color="FFFFFF"/>
        </w:rPr>
        <w:t xml:space="preserve">     麻阳苗族自治县</w:t>
      </w:r>
      <w:r>
        <w:rPr>
          <w:rFonts w:hint="eastAsia"/>
          <w:b/>
          <w:bCs/>
          <w:sz w:val="44"/>
          <w:szCs w:val="44"/>
          <w:u w:val="single" w:color="FFFFFF"/>
          <w:lang w:val="en-US" w:eastAsia="zh-CN"/>
        </w:rPr>
        <w:t>文化市场综合执法局</w:t>
      </w:r>
    </w:p>
    <w:p>
      <w:pPr>
        <w:pStyle w:val="4"/>
        <w:spacing w:beforeLines="0" w:beforeAutospacing="0" w:afterLines="0" w:afterAutospacing="0" w:line="580" w:lineRule="exact"/>
        <w:contextualSpacing/>
        <w:jc w:val="center"/>
      </w:pPr>
      <w:r>
        <w:rPr>
          <w:b/>
          <w:bCs/>
          <w:sz w:val="44"/>
          <w:szCs w:val="44"/>
          <w:u w:val="single" w:color="FFFFFF"/>
        </w:rPr>
        <w:t>2021</w:t>
      </w:r>
      <w:r>
        <w:rPr>
          <w:b/>
          <w:bCs/>
          <w:sz w:val="44"/>
          <w:szCs w:val="44"/>
        </w:rPr>
        <w:t>年绩效自评报告</w:t>
      </w:r>
    </w:p>
    <w:p>
      <w:pPr>
        <w:pStyle w:val="4"/>
        <w:spacing w:beforeLines="0" w:beforeAutospacing="0" w:afterLines="0" w:afterAutospacing="0" w:line="580" w:lineRule="exact"/>
        <w:contextualSpacing/>
      </w:pPr>
    </w:p>
    <w:p>
      <w:pPr>
        <w:pStyle w:val="4"/>
        <w:spacing w:beforeLines="50" w:beforeAutospacing="0" w:afterLines="0" w:afterAutospacing="0" w:line="580" w:lineRule="exact"/>
        <w:ind w:firstLine="643" w:firstLineChars="200"/>
        <w:jc w:val="both"/>
      </w:pPr>
      <w:r>
        <w:rPr>
          <w:b/>
          <w:bCs/>
        </w:rPr>
        <w:t>一、机构编制人员情况</w:t>
      </w:r>
    </w:p>
    <w:p>
      <w:pPr>
        <w:tabs>
          <w:tab w:val="left" w:pos="360"/>
          <w:tab w:val="left" w:pos="540"/>
          <w:tab w:val="left" w:pos="1770"/>
        </w:tabs>
        <w:ind w:firstLine="600" w:firstLineChars="200"/>
        <w:rPr>
          <w:rFonts w:hint="default" w:ascii="宋体" w:eastAsia="宋体"/>
          <w:sz w:val="30"/>
          <w:szCs w:val="30"/>
          <w:lang w:val="en-US" w:eastAsia="zh-CN"/>
        </w:rPr>
      </w:pPr>
      <w:r>
        <w:rPr>
          <w:rFonts w:hint="eastAsia" w:ascii="宋体" w:hAnsi="宋体"/>
          <w:sz w:val="30"/>
          <w:szCs w:val="30"/>
        </w:rPr>
        <w:t>麻阳苗族自治县文化市场综合执法局为全额事业单位。内设办公室：</w:t>
      </w:r>
      <w:r>
        <w:rPr>
          <w:rFonts w:ascii="宋体" w:hAnsi="宋体"/>
          <w:sz w:val="30"/>
          <w:szCs w:val="30"/>
        </w:rPr>
        <w:t>1</w:t>
      </w:r>
      <w:r>
        <w:rPr>
          <w:rFonts w:hint="eastAsia" w:ascii="宋体" w:hAnsi="宋体"/>
          <w:sz w:val="30"/>
          <w:szCs w:val="30"/>
        </w:rPr>
        <w:t>个，财务股：</w:t>
      </w:r>
      <w:r>
        <w:rPr>
          <w:rFonts w:ascii="宋体" w:hAnsi="宋体"/>
          <w:sz w:val="30"/>
          <w:szCs w:val="30"/>
        </w:rPr>
        <w:t>1</w:t>
      </w:r>
      <w:r>
        <w:rPr>
          <w:rFonts w:hint="eastAsia" w:ascii="宋体" w:hAnsi="宋体"/>
          <w:sz w:val="30"/>
          <w:szCs w:val="30"/>
        </w:rPr>
        <w:t>个，人事股：</w:t>
      </w:r>
      <w:r>
        <w:rPr>
          <w:rFonts w:ascii="宋体" w:hAnsi="宋体"/>
          <w:sz w:val="30"/>
          <w:szCs w:val="30"/>
        </w:rPr>
        <w:t>1</w:t>
      </w:r>
      <w:r>
        <w:rPr>
          <w:rFonts w:hint="eastAsia" w:ascii="宋体" w:hAnsi="宋体"/>
          <w:sz w:val="30"/>
          <w:szCs w:val="30"/>
        </w:rPr>
        <w:t>个，政策法规股：</w:t>
      </w:r>
      <w:r>
        <w:rPr>
          <w:rFonts w:ascii="宋体" w:hAnsi="宋体"/>
          <w:sz w:val="30"/>
          <w:szCs w:val="30"/>
        </w:rPr>
        <w:t>1</w:t>
      </w:r>
      <w:r>
        <w:rPr>
          <w:rFonts w:hint="eastAsia" w:ascii="宋体" w:hAnsi="宋体"/>
          <w:sz w:val="30"/>
          <w:szCs w:val="30"/>
        </w:rPr>
        <w:t>个，综合执法室：</w:t>
      </w:r>
      <w:r>
        <w:rPr>
          <w:rFonts w:ascii="宋体" w:hAnsi="宋体"/>
          <w:sz w:val="30"/>
          <w:szCs w:val="30"/>
        </w:rPr>
        <w:t>1</w:t>
      </w:r>
      <w:r>
        <w:rPr>
          <w:rFonts w:hint="eastAsia" w:ascii="宋体" w:hAnsi="宋体"/>
          <w:sz w:val="30"/>
          <w:szCs w:val="30"/>
        </w:rPr>
        <w:t>个，共计</w:t>
      </w:r>
      <w:r>
        <w:rPr>
          <w:rFonts w:ascii="宋体" w:hAnsi="宋体"/>
          <w:sz w:val="30"/>
          <w:szCs w:val="30"/>
        </w:rPr>
        <w:t>5</w:t>
      </w:r>
      <w:r>
        <w:rPr>
          <w:rFonts w:hint="eastAsia" w:ascii="宋体" w:hAnsi="宋体"/>
          <w:sz w:val="30"/>
          <w:szCs w:val="30"/>
        </w:rPr>
        <w:t>个职能股室。核定全额拨款事业编制为</w:t>
      </w:r>
      <w:r>
        <w:rPr>
          <w:rFonts w:ascii="宋体" w:hAnsi="宋体"/>
          <w:sz w:val="30"/>
          <w:szCs w:val="30"/>
        </w:rPr>
        <w:t>20</w:t>
      </w:r>
      <w:r>
        <w:rPr>
          <w:rFonts w:hint="eastAsia" w:ascii="宋体" w:hAnsi="宋体"/>
          <w:sz w:val="30"/>
          <w:szCs w:val="30"/>
        </w:rPr>
        <w:t>名（含后勤服务事业编制</w:t>
      </w:r>
      <w:r>
        <w:rPr>
          <w:rFonts w:ascii="宋体" w:hAnsi="宋体"/>
          <w:sz w:val="30"/>
          <w:szCs w:val="30"/>
        </w:rPr>
        <w:t>1</w:t>
      </w:r>
      <w:r>
        <w:rPr>
          <w:rFonts w:hint="eastAsia" w:ascii="宋体" w:hAnsi="宋体"/>
          <w:sz w:val="30"/>
          <w:szCs w:val="30"/>
        </w:rPr>
        <w:t>名）。截止</w:t>
      </w:r>
      <w:r>
        <w:rPr>
          <w:rFonts w:ascii="宋体" w:hAnsi="宋体"/>
          <w:sz w:val="30"/>
          <w:szCs w:val="30"/>
        </w:rPr>
        <w:t>20</w:t>
      </w:r>
      <w:r>
        <w:rPr>
          <w:rFonts w:hint="eastAsia" w:ascii="宋体" w:hAnsi="宋体"/>
          <w:sz w:val="30"/>
          <w:szCs w:val="30"/>
          <w:lang w:val="en-US" w:eastAsia="zh-CN"/>
        </w:rPr>
        <w:t>21</w:t>
      </w:r>
      <w:r>
        <w:rPr>
          <w:rFonts w:hint="eastAsia" w:ascii="宋体" w:hAnsi="宋体"/>
          <w:sz w:val="30"/>
          <w:szCs w:val="30"/>
        </w:rPr>
        <w:t>年</w:t>
      </w:r>
      <w:r>
        <w:rPr>
          <w:rFonts w:ascii="宋体" w:hAnsi="宋体"/>
          <w:sz w:val="30"/>
          <w:szCs w:val="30"/>
        </w:rPr>
        <w:t>12</w:t>
      </w:r>
      <w:r>
        <w:rPr>
          <w:rFonts w:hint="eastAsia" w:ascii="宋体" w:hAnsi="宋体"/>
          <w:sz w:val="30"/>
          <w:szCs w:val="30"/>
        </w:rPr>
        <w:t>月底，实有在职人员：</w:t>
      </w:r>
      <w:r>
        <w:rPr>
          <w:rFonts w:hint="eastAsia" w:ascii="宋体" w:hAnsi="宋体"/>
          <w:sz w:val="30"/>
          <w:szCs w:val="30"/>
          <w:lang w:val="en-US" w:eastAsia="zh-CN"/>
        </w:rPr>
        <w:t>18</w:t>
      </w:r>
      <w:r>
        <w:rPr>
          <w:rFonts w:hint="eastAsia" w:ascii="宋体" w:hAnsi="宋体"/>
          <w:sz w:val="30"/>
          <w:szCs w:val="30"/>
        </w:rPr>
        <w:t>人（全额：</w:t>
      </w:r>
      <w:r>
        <w:rPr>
          <w:rFonts w:hint="eastAsia" w:ascii="宋体" w:hAnsi="宋体"/>
          <w:sz w:val="30"/>
          <w:szCs w:val="30"/>
          <w:lang w:val="en-US" w:eastAsia="zh-CN"/>
        </w:rPr>
        <w:t>9</w:t>
      </w:r>
      <w:r>
        <w:rPr>
          <w:rFonts w:hint="eastAsia" w:ascii="宋体" w:hAnsi="宋体"/>
          <w:sz w:val="30"/>
          <w:szCs w:val="30"/>
        </w:rPr>
        <w:t>人，差额：</w:t>
      </w:r>
      <w:r>
        <w:rPr>
          <w:rFonts w:hint="eastAsia" w:ascii="宋体" w:hAnsi="宋体"/>
          <w:sz w:val="30"/>
          <w:szCs w:val="30"/>
          <w:lang w:val="en-US" w:eastAsia="zh-CN"/>
        </w:rPr>
        <w:t>1</w:t>
      </w:r>
      <w:r>
        <w:rPr>
          <w:rFonts w:hint="eastAsia" w:ascii="宋体" w:hAnsi="宋体"/>
          <w:sz w:val="30"/>
          <w:szCs w:val="30"/>
        </w:rPr>
        <w:t>人，自收自支：</w:t>
      </w:r>
      <w:r>
        <w:rPr>
          <w:rFonts w:hint="eastAsia" w:ascii="宋体" w:hAnsi="宋体"/>
          <w:sz w:val="30"/>
          <w:szCs w:val="30"/>
          <w:lang w:val="en-US" w:eastAsia="zh-CN"/>
        </w:rPr>
        <w:t>8</w:t>
      </w:r>
      <w:r>
        <w:rPr>
          <w:rFonts w:hint="eastAsia" w:ascii="宋体" w:hAnsi="宋体"/>
          <w:sz w:val="30"/>
          <w:szCs w:val="30"/>
        </w:rPr>
        <w:t>人）。</w:t>
      </w:r>
      <w:r>
        <w:rPr>
          <w:rFonts w:hint="eastAsia" w:ascii="宋体" w:hAnsi="宋体"/>
          <w:sz w:val="30"/>
          <w:szCs w:val="30"/>
          <w:lang w:val="en-US" w:eastAsia="zh-CN"/>
        </w:rPr>
        <w:t xml:space="preserve">退休人员：2人（差额、自收自支各一人）。                                     </w:t>
      </w:r>
    </w:p>
    <w:p>
      <w:pPr>
        <w:pStyle w:val="4"/>
        <w:spacing w:beforeLines="50" w:beforeAutospacing="0" w:afterLines="0" w:afterAutospacing="0" w:line="580" w:lineRule="exact"/>
        <w:ind w:firstLine="643" w:firstLineChars="200"/>
        <w:jc w:val="both"/>
      </w:pPr>
      <w:r>
        <w:rPr>
          <w:b/>
          <w:bCs/>
        </w:rPr>
        <w:t>二、单位主要职能与年度绩效目标</w:t>
      </w:r>
    </w:p>
    <w:p>
      <w:pPr>
        <w:adjustRightInd w:val="0"/>
        <w:snapToGrid w:val="0"/>
        <w:spacing w:line="560" w:lineRule="exact"/>
        <w:rPr>
          <w:rFonts w:ascii="宋体"/>
          <w:b/>
          <w:color w:val="000000"/>
          <w:spacing w:val="-20"/>
          <w:kern w:val="0"/>
          <w:sz w:val="30"/>
          <w:szCs w:val="30"/>
        </w:rPr>
      </w:pPr>
      <w:r>
        <w:rPr>
          <w:rFonts w:ascii="宋体" w:hAnsi="宋体" w:eastAsia="宋体" w:cs="宋体"/>
          <w:sz w:val="32"/>
          <w:szCs w:val="32"/>
        </w:rPr>
        <w:t xml:space="preserve">   </w:t>
      </w:r>
      <w:r>
        <w:rPr>
          <w:rFonts w:hint="eastAsia" w:ascii="宋体" w:hAnsi="宋体"/>
          <w:b/>
          <w:color w:val="000000"/>
          <w:spacing w:val="-20"/>
          <w:kern w:val="0"/>
          <w:sz w:val="30"/>
          <w:szCs w:val="30"/>
        </w:rPr>
        <w:t>（一）单位主要职能</w:t>
      </w:r>
    </w:p>
    <w:p>
      <w:pPr>
        <w:tabs>
          <w:tab w:val="left" w:pos="360"/>
          <w:tab w:val="left" w:pos="1770"/>
        </w:tabs>
        <w:ind w:firstLine="600" w:firstLineChars="200"/>
        <w:rPr>
          <w:rFonts w:ascii="宋体" w:hAnsi="宋体"/>
          <w:sz w:val="30"/>
          <w:szCs w:val="30"/>
        </w:rPr>
      </w:pPr>
      <w:r>
        <w:rPr>
          <w:rFonts w:ascii="宋体" w:hAnsi="宋体"/>
          <w:sz w:val="30"/>
          <w:szCs w:val="30"/>
        </w:rPr>
        <w:t>1</w:t>
      </w:r>
      <w:r>
        <w:rPr>
          <w:rFonts w:hint="eastAsia" w:ascii="宋体" w:hAnsi="宋体"/>
          <w:sz w:val="30"/>
          <w:szCs w:val="30"/>
        </w:rPr>
        <w:t>、贯彻执行党和国家有关文化、广播影视、新闻出版、版权市场管理的法律、法规和方针、政策；组织实施文化市场行政执法方面的规范性文件、总体规划和年度计划。</w:t>
      </w:r>
      <w:r>
        <w:rPr>
          <w:rFonts w:ascii="宋体" w:hAnsi="宋体"/>
          <w:sz w:val="30"/>
          <w:szCs w:val="30"/>
        </w:rPr>
        <w:t xml:space="preserve"> </w:t>
      </w:r>
    </w:p>
    <w:p>
      <w:pPr>
        <w:tabs>
          <w:tab w:val="left" w:pos="360"/>
          <w:tab w:val="left" w:pos="1770"/>
        </w:tabs>
        <w:ind w:firstLine="600" w:firstLineChars="200"/>
        <w:rPr>
          <w:rFonts w:hint="eastAsia" w:ascii="宋体" w:hAnsi="宋体"/>
          <w:sz w:val="30"/>
          <w:szCs w:val="30"/>
        </w:rPr>
      </w:pPr>
      <w:r>
        <w:rPr>
          <w:rFonts w:ascii="宋体" w:hAnsi="宋体"/>
          <w:sz w:val="30"/>
          <w:szCs w:val="30"/>
        </w:rPr>
        <w:t>2</w:t>
      </w:r>
      <w:r>
        <w:rPr>
          <w:rFonts w:hint="eastAsia" w:ascii="宋体" w:hAnsi="宋体"/>
          <w:sz w:val="30"/>
          <w:szCs w:val="30"/>
        </w:rPr>
        <w:t>、根据有关法律、法规、规章规定，行使对文化市场管理方面的行政处罚权，以及与行政处罚权相关的行政检查权和行政强制权。</w:t>
      </w:r>
    </w:p>
    <w:p>
      <w:pPr>
        <w:tabs>
          <w:tab w:val="left" w:pos="360"/>
          <w:tab w:val="left" w:pos="1770"/>
        </w:tabs>
        <w:ind w:firstLine="600" w:firstLineChars="200"/>
        <w:rPr>
          <w:rFonts w:hint="eastAsia" w:ascii="宋体" w:hAnsi="宋体"/>
          <w:sz w:val="30"/>
          <w:szCs w:val="30"/>
        </w:rPr>
      </w:pPr>
      <w:r>
        <w:rPr>
          <w:rFonts w:ascii="宋体" w:hAnsi="宋体"/>
          <w:sz w:val="30"/>
          <w:szCs w:val="30"/>
        </w:rPr>
        <w:t>3</w:t>
      </w:r>
      <w:r>
        <w:rPr>
          <w:rFonts w:hint="eastAsia" w:ascii="宋体" w:hAnsi="宋体"/>
          <w:sz w:val="30"/>
          <w:szCs w:val="30"/>
        </w:rPr>
        <w:t>、负责组织实施文化市场整治专项行动。</w:t>
      </w:r>
    </w:p>
    <w:p>
      <w:pPr>
        <w:tabs>
          <w:tab w:val="left" w:pos="360"/>
          <w:tab w:val="left" w:pos="1770"/>
        </w:tabs>
        <w:ind w:firstLine="600" w:firstLineChars="200"/>
        <w:rPr>
          <w:rFonts w:hint="eastAsia" w:ascii="宋体" w:hAnsi="宋体"/>
          <w:sz w:val="30"/>
          <w:szCs w:val="30"/>
        </w:rPr>
      </w:pPr>
      <w:r>
        <w:rPr>
          <w:rFonts w:ascii="宋体" w:hAnsi="宋体"/>
          <w:sz w:val="30"/>
          <w:szCs w:val="30"/>
        </w:rPr>
        <w:t>4</w:t>
      </w:r>
      <w:r>
        <w:rPr>
          <w:rFonts w:hint="eastAsia" w:ascii="宋体" w:hAnsi="宋体"/>
          <w:sz w:val="30"/>
          <w:szCs w:val="30"/>
        </w:rPr>
        <w:t>、负责查处演出、娱乐、网络文化市场、电子游戏、美术品销售、文化经营，电影、图书、报纸、期刊、音像制品、电子出版、网络出版、计算机软件，印刷、复制、出版物发行等经营活动中的违法行为；负责查处非法安装、擅自使用卫星电视广播地面接收设施的行为。</w:t>
      </w:r>
    </w:p>
    <w:p>
      <w:pPr>
        <w:tabs>
          <w:tab w:val="left" w:pos="360"/>
          <w:tab w:val="left" w:pos="1770"/>
        </w:tabs>
        <w:ind w:firstLine="600" w:firstLineChars="200"/>
        <w:rPr>
          <w:rFonts w:hint="eastAsia" w:ascii="宋体" w:hAnsi="宋体"/>
          <w:sz w:val="30"/>
          <w:szCs w:val="30"/>
        </w:rPr>
      </w:pPr>
      <w:r>
        <w:rPr>
          <w:rFonts w:ascii="宋体" w:hAnsi="宋体"/>
          <w:sz w:val="30"/>
          <w:szCs w:val="30"/>
        </w:rPr>
        <w:t>5</w:t>
      </w:r>
      <w:r>
        <w:rPr>
          <w:rFonts w:hint="eastAsia" w:ascii="宋体" w:hAnsi="宋体"/>
          <w:sz w:val="30"/>
          <w:szCs w:val="30"/>
        </w:rPr>
        <w:t>、负责查处盗版行为。</w:t>
      </w:r>
    </w:p>
    <w:p>
      <w:pPr>
        <w:tabs>
          <w:tab w:val="left" w:pos="360"/>
          <w:tab w:val="left" w:pos="1770"/>
        </w:tabs>
        <w:ind w:firstLine="600" w:firstLineChars="200"/>
        <w:rPr>
          <w:rFonts w:hint="eastAsia" w:ascii="宋体" w:hAnsi="宋体"/>
          <w:sz w:val="30"/>
          <w:szCs w:val="30"/>
        </w:rPr>
      </w:pPr>
      <w:r>
        <w:rPr>
          <w:rFonts w:ascii="宋体" w:hAnsi="宋体"/>
          <w:sz w:val="30"/>
          <w:szCs w:val="30"/>
        </w:rPr>
        <w:t>6</w:t>
      </w:r>
      <w:r>
        <w:rPr>
          <w:rFonts w:hint="eastAsia" w:ascii="宋体" w:hAnsi="宋体"/>
          <w:sz w:val="30"/>
          <w:szCs w:val="30"/>
        </w:rPr>
        <w:t>、负责实施对文化行政执法人员的业务培训工作。</w:t>
      </w:r>
    </w:p>
    <w:p>
      <w:pPr>
        <w:tabs>
          <w:tab w:val="left" w:pos="360"/>
          <w:tab w:val="left" w:pos="1770"/>
        </w:tabs>
        <w:ind w:firstLine="600" w:firstLineChars="200"/>
        <w:rPr>
          <w:rFonts w:ascii="宋体" w:hAnsi="宋体"/>
          <w:sz w:val="30"/>
          <w:szCs w:val="30"/>
        </w:rPr>
      </w:pPr>
      <w:r>
        <w:rPr>
          <w:rFonts w:ascii="宋体" w:hAnsi="宋体"/>
          <w:sz w:val="30"/>
          <w:szCs w:val="30"/>
        </w:rPr>
        <w:t>7</w:t>
      </w:r>
      <w:r>
        <w:rPr>
          <w:rFonts w:hint="eastAsia" w:ascii="宋体" w:hAnsi="宋体"/>
          <w:sz w:val="30"/>
          <w:szCs w:val="30"/>
        </w:rPr>
        <w:t>、负责实施对文化市场执法队伍的日常监督工作。</w:t>
      </w:r>
      <w:r>
        <w:rPr>
          <w:rFonts w:ascii="宋体" w:hAnsi="宋体"/>
          <w:sz w:val="30"/>
          <w:szCs w:val="30"/>
        </w:rPr>
        <w:t xml:space="preserve">  </w:t>
      </w:r>
    </w:p>
    <w:p>
      <w:pPr>
        <w:tabs>
          <w:tab w:val="left" w:pos="360"/>
          <w:tab w:val="left" w:pos="1770"/>
        </w:tabs>
        <w:ind w:firstLine="600" w:firstLineChars="200"/>
        <w:rPr>
          <w:rFonts w:hint="eastAsia" w:ascii="宋体" w:hAnsi="宋体"/>
          <w:sz w:val="30"/>
          <w:szCs w:val="30"/>
        </w:rPr>
      </w:pPr>
      <w:r>
        <w:rPr>
          <w:rFonts w:ascii="宋体" w:hAnsi="宋体"/>
          <w:sz w:val="30"/>
          <w:szCs w:val="30"/>
        </w:rPr>
        <w:t>8</w:t>
      </w:r>
      <w:r>
        <w:rPr>
          <w:rFonts w:hint="eastAsia" w:ascii="宋体" w:hAnsi="宋体"/>
          <w:sz w:val="30"/>
          <w:szCs w:val="30"/>
        </w:rPr>
        <w:t>、负责受理对文化市场违法行为的投诉、举报。</w:t>
      </w:r>
    </w:p>
    <w:p>
      <w:pPr>
        <w:tabs>
          <w:tab w:val="left" w:pos="360"/>
          <w:tab w:val="left" w:pos="1770"/>
        </w:tabs>
        <w:ind w:firstLine="600" w:firstLineChars="200"/>
        <w:rPr>
          <w:rFonts w:hint="eastAsia" w:ascii="宋体" w:hAnsi="宋体"/>
          <w:sz w:val="30"/>
          <w:szCs w:val="30"/>
        </w:rPr>
      </w:pPr>
      <w:r>
        <w:rPr>
          <w:rFonts w:ascii="宋体" w:hAnsi="宋体"/>
          <w:sz w:val="30"/>
          <w:szCs w:val="30"/>
        </w:rPr>
        <w:t>9</w:t>
      </w:r>
      <w:r>
        <w:rPr>
          <w:rFonts w:hint="eastAsia" w:ascii="宋体" w:hAnsi="宋体"/>
          <w:sz w:val="30"/>
          <w:szCs w:val="30"/>
        </w:rPr>
        <w:t>、负责落实“扫黄打非”工作具体执法任务。</w:t>
      </w:r>
    </w:p>
    <w:p>
      <w:pPr>
        <w:tabs>
          <w:tab w:val="left" w:pos="360"/>
          <w:tab w:val="left" w:pos="1770"/>
        </w:tabs>
        <w:ind w:firstLine="600" w:firstLineChars="200"/>
        <w:rPr>
          <w:rFonts w:ascii="宋体"/>
          <w:sz w:val="30"/>
          <w:szCs w:val="30"/>
        </w:rPr>
      </w:pPr>
      <w:r>
        <w:rPr>
          <w:rFonts w:ascii="宋体" w:hAnsi="宋体"/>
          <w:sz w:val="30"/>
          <w:szCs w:val="30"/>
        </w:rPr>
        <w:t>10</w:t>
      </w:r>
      <w:r>
        <w:rPr>
          <w:rFonts w:hint="eastAsia" w:ascii="宋体" w:hAnsi="宋体"/>
          <w:sz w:val="30"/>
          <w:szCs w:val="30"/>
        </w:rPr>
        <w:t>、承办县人民政府和县文化广电新闻出版局交办的其他事项。</w:t>
      </w:r>
    </w:p>
    <w:p>
      <w:pPr>
        <w:widowControl/>
        <w:spacing w:line="560" w:lineRule="exact"/>
        <w:jc w:val="left"/>
        <w:rPr>
          <w:rFonts w:ascii="宋体" w:cs="宋体"/>
          <w:b/>
          <w:bCs/>
          <w:color w:val="0F1214"/>
          <w:sz w:val="30"/>
          <w:szCs w:val="30"/>
        </w:rPr>
      </w:pPr>
      <w:r>
        <w:rPr>
          <w:rFonts w:hint="eastAsia" w:ascii="宋体" w:hAnsi="宋体" w:cs="宋体"/>
          <w:b/>
          <w:bCs/>
          <w:color w:val="0F1214"/>
          <w:sz w:val="30"/>
          <w:szCs w:val="30"/>
        </w:rPr>
        <w:t>（二）、绩效目标</w:t>
      </w:r>
    </w:p>
    <w:p>
      <w:pPr>
        <w:widowControl/>
        <w:spacing w:line="560" w:lineRule="exact"/>
        <w:ind w:firstLine="600" w:firstLineChars="200"/>
        <w:jc w:val="left"/>
        <w:rPr>
          <w:rFonts w:ascii="宋体" w:cs="宋体"/>
          <w:color w:val="000000"/>
          <w:kern w:val="0"/>
          <w:sz w:val="30"/>
          <w:szCs w:val="30"/>
          <w:lang w:val="zh-CN"/>
        </w:rPr>
      </w:pPr>
      <w:r>
        <w:rPr>
          <w:rFonts w:ascii="宋体" w:hAnsi="宋体" w:cs="宋体"/>
          <w:color w:val="000000"/>
          <w:kern w:val="0"/>
          <w:sz w:val="30"/>
          <w:szCs w:val="30"/>
          <w:lang w:val="zh-CN"/>
        </w:rPr>
        <w:t>1</w:t>
      </w:r>
      <w:r>
        <w:rPr>
          <w:rFonts w:hint="eastAsia" w:ascii="宋体" w:hAnsi="宋体" w:cs="宋体"/>
          <w:color w:val="000000"/>
          <w:kern w:val="0"/>
          <w:sz w:val="30"/>
          <w:szCs w:val="30"/>
          <w:lang w:val="zh-CN"/>
        </w:rPr>
        <w:t>、及时为县委政府决策提供数据依据；</w:t>
      </w:r>
    </w:p>
    <w:p>
      <w:pPr>
        <w:widowControl/>
        <w:spacing w:line="560" w:lineRule="exact"/>
        <w:ind w:firstLine="600" w:firstLineChars="200"/>
        <w:jc w:val="left"/>
        <w:rPr>
          <w:rFonts w:ascii="宋体" w:cs="宋体"/>
          <w:color w:val="000000"/>
          <w:kern w:val="0"/>
          <w:sz w:val="30"/>
          <w:szCs w:val="30"/>
          <w:lang w:val="zh-CN"/>
        </w:rPr>
      </w:pPr>
      <w:r>
        <w:rPr>
          <w:rFonts w:ascii="宋体" w:hAnsi="宋体" w:cs="宋体"/>
          <w:color w:val="000000"/>
          <w:kern w:val="0"/>
          <w:sz w:val="30"/>
          <w:szCs w:val="30"/>
          <w:lang w:val="zh-CN"/>
        </w:rPr>
        <w:t>2</w:t>
      </w:r>
      <w:r>
        <w:rPr>
          <w:rFonts w:hint="eastAsia" w:ascii="宋体" w:hAnsi="宋体" w:cs="宋体"/>
          <w:color w:val="000000"/>
          <w:kern w:val="0"/>
          <w:sz w:val="30"/>
          <w:szCs w:val="30"/>
          <w:lang w:val="zh-CN"/>
        </w:rPr>
        <w:t>、</w:t>
      </w:r>
      <w:r>
        <w:rPr>
          <w:rFonts w:hint="eastAsia" w:ascii="宋体" w:hAnsi="宋体"/>
          <w:sz w:val="30"/>
          <w:szCs w:val="30"/>
        </w:rPr>
        <w:t>负责组织实施文化市场整治专项行动；</w:t>
      </w:r>
      <w:r>
        <w:rPr>
          <w:rFonts w:hint="eastAsia" w:ascii="宋体" w:hAnsi="宋体" w:cs="宋体"/>
          <w:color w:val="000000"/>
          <w:kern w:val="0"/>
          <w:sz w:val="30"/>
          <w:szCs w:val="30"/>
          <w:lang w:val="zh-CN"/>
        </w:rPr>
        <w:t>；</w:t>
      </w:r>
    </w:p>
    <w:p>
      <w:pPr>
        <w:widowControl/>
        <w:spacing w:line="560" w:lineRule="exact"/>
        <w:ind w:firstLine="600" w:firstLineChars="200"/>
        <w:jc w:val="left"/>
        <w:rPr>
          <w:rFonts w:ascii="宋体" w:cs="宋体"/>
          <w:color w:val="000000"/>
          <w:kern w:val="0"/>
          <w:sz w:val="30"/>
          <w:szCs w:val="30"/>
          <w:lang w:val="zh-CN"/>
        </w:rPr>
      </w:pPr>
      <w:r>
        <w:rPr>
          <w:rFonts w:ascii="宋体" w:hAnsi="宋体" w:cs="宋体"/>
          <w:color w:val="000000"/>
          <w:kern w:val="0"/>
          <w:sz w:val="30"/>
          <w:szCs w:val="30"/>
          <w:lang w:val="zh-CN"/>
        </w:rPr>
        <w:t>3</w:t>
      </w:r>
      <w:r>
        <w:rPr>
          <w:rFonts w:hint="eastAsia" w:ascii="宋体" w:hAnsi="宋体" w:cs="宋体"/>
          <w:color w:val="000000"/>
          <w:kern w:val="0"/>
          <w:sz w:val="30"/>
          <w:szCs w:val="30"/>
          <w:lang w:val="zh-CN"/>
        </w:rPr>
        <w:t>、完善好信息化平台上报；</w:t>
      </w:r>
    </w:p>
    <w:p>
      <w:pPr>
        <w:widowControl/>
        <w:spacing w:line="560" w:lineRule="exact"/>
        <w:ind w:firstLine="600" w:firstLineChars="200"/>
        <w:jc w:val="left"/>
        <w:rPr>
          <w:rFonts w:ascii="宋体"/>
          <w:sz w:val="30"/>
          <w:szCs w:val="30"/>
        </w:rPr>
      </w:pPr>
      <w:r>
        <w:rPr>
          <w:rFonts w:ascii="宋体" w:hAnsi="宋体" w:cs="宋体"/>
          <w:color w:val="000000"/>
          <w:kern w:val="0"/>
          <w:sz w:val="30"/>
          <w:szCs w:val="30"/>
          <w:lang w:val="zh-CN"/>
        </w:rPr>
        <w:t>4</w:t>
      </w:r>
      <w:r>
        <w:rPr>
          <w:rFonts w:hint="eastAsia" w:ascii="宋体" w:hAnsi="宋体" w:cs="宋体"/>
          <w:color w:val="000000"/>
          <w:kern w:val="0"/>
          <w:sz w:val="30"/>
          <w:szCs w:val="30"/>
          <w:lang w:val="zh-CN"/>
        </w:rPr>
        <w:t>、</w:t>
      </w:r>
      <w:r>
        <w:rPr>
          <w:rFonts w:hint="eastAsia" w:ascii="宋体" w:hAnsi="宋体"/>
          <w:sz w:val="30"/>
          <w:szCs w:val="30"/>
        </w:rPr>
        <w:t>负责落实“扫黄打非”工作具体执法任务；</w:t>
      </w:r>
    </w:p>
    <w:p>
      <w:pPr>
        <w:widowControl/>
        <w:spacing w:line="560" w:lineRule="exact"/>
        <w:ind w:firstLine="600" w:firstLineChars="200"/>
        <w:jc w:val="left"/>
        <w:rPr>
          <w:rFonts w:ascii="宋体" w:cs="宋体"/>
          <w:color w:val="000000"/>
          <w:kern w:val="0"/>
          <w:sz w:val="30"/>
          <w:szCs w:val="30"/>
          <w:lang w:val="zh-CN"/>
        </w:rPr>
      </w:pPr>
      <w:r>
        <w:rPr>
          <w:rFonts w:ascii="宋体" w:hAnsi="宋体"/>
          <w:sz w:val="30"/>
          <w:szCs w:val="30"/>
        </w:rPr>
        <w:t>5</w:t>
      </w:r>
      <w:r>
        <w:rPr>
          <w:rFonts w:hint="eastAsia" w:ascii="宋体" w:hAnsi="宋体"/>
          <w:sz w:val="30"/>
          <w:szCs w:val="30"/>
        </w:rPr>
        <w:t>、负责实施对文化行政执法人员的业务培训工作；</w:t>
      </w:r>
    </w:p>
    <w:p>
      <w:pPr>
        <w:widowControl/>
        <w:spacing w:line="560" w:lineRule="exact"/>
        <w:ind w:firstLine="600" w:firstLineChars="200"/>
        <w:jc w:val="left"/>
        <w:rPr>
          <w:rFonts w:ascii="宋体" w:cs="宋体"/>
          <w:color w:val="000000"/>
          <w:kern w:val="0"/>
          <w:sz w:val="30"/>
          <w:szCs w:val="30"/>
          <w:lang w:val="zh-CN"/>
        </w:rPr>
      </w:pPr>
      <w:r>
        <w:rPr>
          <w:rFonts w:ascii="宋体" w:hAnsi="宋体" w:cs="宋体"/>
          <w:color w:val="000000"/>
          <w:kern w:val="0"/>
          <w:sz w:val="30"/>
          <w:szCs w:val="30"/>
          <w:lang w:val="zh-CN"/>
        </w:rPr>
        <w:t>6</w:t>
      </w:r>
      <w:r>
        <w:rPr>
          <w:rFonts w:hint="eastAsia" w:ascii="宋体" w:hAnsi="宋体" w:cs="宋体"/>
          <w:color w:val="000000"/>
          <w:kern w:val="0"/>
          <w:sz w:val="30"/>
          <w:szCs w:val="30"/>
          <w:lang w:val="zh-CN"/>
        </w:rPr>
        <w:t>、完成各项报表上报工作；</w:t>
      </w:r>
    </w:p>
    <w:p>
      <w:pPr>
        <w:widowControl/>
        <w:spacing w:line="560" w:lineRule="exact"/>
        <w:ind w:firstLine="600" w:firstLineChars="200"/>
        <w:jc w:val="left"/>
        <w:rPr>
          <w:rFonts w:ascii="宋体" w:cs="宋体"/>
          <w:color w:val="000000"/>
          <w:kern w:val="0"/>
          <w:sz w:val="30"/>
          <w:szCs w:val="30"/>
          <w:lang w:val="zh-CN"/>
        </w:rPr>
      </w:pPr>
      <w:r>
        <w:rPr>
          <w:rFonts w:ascii="宋体" w:hAnsi="宋体" w:cs="宋体"/>
          <w:color w:val="000000"/>
          <w:kern w:val="0"/>
          <w:sz w:val="30"/>
          <w:szCs w:val="30"/>
          <w:lang w:val="zh-CN"/>
        </w:rPr>
        <w:t>7</w:t>
      </w:r>
      <w:r>
        <w:rPr>
          <w:rFonts w:hint="eastAsia" w:ascii="宋体" w:hAnsi="宋体" w:cs="宋体"/>
          <w:color w:val="000000"/>
          <w:kern w:val="0"/>
          <w:sz w:val="30"/>
          <w:szCs w:val="30"/>
          <w:lang w:val="zh-CN"/>
        </w:rPr>
        <w:t>、严格执行国家财务制度和财经纪律，合理开支、厉行节约；</w:t>
      </w:r>
    </w:p>
    <w:p>
      <w:pPr>
        <w:widowControl/>
        <w:spacing w:line="560" w:lineRule="exact"/>
        <w:ind w:firstLine="600" w:firstLineChars="200"/>
        <w:jc w:val="left"/>
        <w:rPr>
          <w:rFonts w:ascii="宋体" w:cs="宋体"/>
          <w:color w:val="000000"/>
          <w:kern w:val="0"/>
          <w:sz w:val="30"/>
          <w:szCs w:val="30"/>
          <w:lang w:val="zh-CN"/>
        </w:rPr>
      </w:pPr>
      <w:r>
        <w:rPr>
          <w:rFonts w:ascii="宋体" w:hAnsi="宋体" w:cs="宋体"/>
          <w:color w:val="000000"/>
          <w:kern w:val="0"/>
          <w:sz w:val="30"/>
          <w:szCs w:val="30"/>
          <w:lang w:val="zh-CN"/>
        </w:rPr>
        <w:t>8</w:t>
      </w:r>
      <w:r>
        <w:rPr>
          <w:rFonts w:hint="eastAsia" w:ascii="宋体" w:hAnsi="宋体" w:cs="宋体"/>
          <w:color w:val="000000"/>
          <w:kern w:val="0"/>
          <w:sz w:val="30"/>
          <w:szCs w:val="30"/>
          <w:lang w:val="zh-CN"/>
        </w:rPr>
        <w:t>、严格控制“三公经费”和重点费用开支，“三公经费”在去年支出基础上不增长。</w:t>
      </w:r>
    </w:p>
    <w:p>
      <w:pPr>
        <w:pStyle w:val="4"/>
        <w:kinsoku/>
        <w:overflowPunct/>
        <w:bidi w:val="0"/>
        <w:spacing w:beforeLines="50" w:beforeAutospacing="0" w:afterLines="0" w:afterAutospacing="0" w:line="580" w:lineRule="exact"/>
        <w:jc w:val="both"/>
        <w:textAlignment w:val="auto"/>
      </w:pPr>
    </w:p>
    <w:p>
      <w:pPr>
        <w:pStyle w:val="4"/>
        <w:spacing w:beforeLines="50" w:beforeAutospacing="0" w:afterLines="0" w:afterAutospacing="0" w:line="580" w:lineRule="exact"/>
        <w:ind w:firstLine="643" w:firstLineChars="200"/>
        <w:jc w:val="both"/>
      </w:pPr>
      <w:r>
        <w:rPr>
          <w:b/>
          <w:bCs/>
        </w:rPr>
        <w:t>三、年度整体支出及管理情况</w:t>
      </w:r>
    </w:p>
    <w:p>
      <w:pPr>
        <w:pStyle w:val="4"/>
        <w:spacing w:beforeLines="0" w:beforeAutospacing="0" w:afterLines="0" w:afterAutospacing="0" w:line="580" w:lineRule="exact"/>
        <w:ind w:firstLine="320" w:firstLineChars="100"/>
        <w:jc w:val="both"/>
      </w:pPr>
      <w:r>
        <w:rPr>
          <w:rFonts w:ascii="宋体" w:hAnsi="宋体" w:eastAsia="宋体"/>
        </w:rPr>
        <w:t xml:space="preserve"> 2021年预算总收入</w:t>
      </w:r>
      <w:r>
        <w:rPr>
          <w:rFonts w:hint="eastAsia" w:ascii="宋体" w:hAnsi="宋体" w:eastAsia="宋体" w:cs="Arial"/>
          <w:color w:val="auto"/>
          <w:kern w:val="2"/>
          <w:sz w:val="32"/>
          <w:szCs w:val="32"/>
          <w:lang w:val="en-US" w:eastAsia="zh-CN" w:bidi="ar-SA"/>
        </w:rPr>
        <w:t>310.03</w:t>
      </w:r>
      <w:r>
        <w:rPr>
          <w:rFonts w:ascii="宋体" w:hAnsi="宋体" w:eastAsia="宋体"/>
        </w:rPr>
        <w:t>万元，其中年初预算安排</w:t>
      </w:r>
      <w:r>
        <w:rPr>
          <w:rFonts w:hint="eastAsia" w:ascii="宋体" w:hAnsi="宋体" w:eastAsia="宋体"/>
          <w:lang w:val="en-US" w:eastAsia="zh-CN"/>
        </w:rPr>
        <w:t>262.28</w:t>
      </w:r>
      <w:r>
        <w:rPr>
          <w:rFonts w:ascii="宋体" w:hAnsi="宋体" w:eastAsia="宋体"/>
        </w:rPr>
        <w:t>万元，上年结转收入</w:t>
      </w:r>
      <w:r>
        <w:rPr>
          <w:rFonts w:hint="eastAsia" w:ascii="宋体" w:hAnsi="宋体" w:eastAsia="宋体"/>
          <w:lang w:val="en-US" w:eastAsia="zh-CN"/>
        </w:rPr>
        <w:t>47.75</w:t>
      </w:r>
      <w:r>
        <w:rPr>
          <w:rFonts w:ascii="宋体" w:hAnsi="宋体" w:eastAsia="宋体"/>
        </w:rPr>
        <w:t>万元。实际总支出</w:t>
      </w:r>
      <w:r>
        <w:rPr>
          <w:rFonts w:hint="eastAsia" w:ascii="宋体" w:hAnsi="宋体" w:eastAsia="宋体"/>
          <w:lang w:val="en-US" w:eastAsia="zh-CN"/>
        </w:rPr>
        <w:t>310.03</w:t>
      </w:r>
      <w:r>
        <w:rPr>
          <w:rFonts w:ascii="宋体" w:hAnsi="宋体" w:eastAsia="宋体"/>
        </w:rPr>
        <w:t>万元，其中基本支出</w:t>
      </w:r>
      <w:r>
        <w:rPr>
          <w:rFonts w:hint="eastAsia" w:ascii="宋体" w:hAnsi="宋体" w:eastAsia="宋体"/>
          <w:lang w:val="en-US" w:eastAsia="zh-CN"/>
        </w:rPr>
        <w:t>246.15</w:t>
      </w:r>
      <w:r>
        <w:rPr>
          <w:rFonts w:ascii="宋体" w:hAnsi="宋体" w:eastAsia="宋体"/>
        </w:rPr>
        <w:t>万元，占年初预算基本支出的</w:t>
      </w:r>
      <w:r>
        <w:rPr>
          <w:rFonts w:hint="eastAsia" w:ascii="宋体" w:hAnsi="宋体" w:eastAsia="宋体" w:cs="Arial"/>
          <w:color w:val="auto"/>
          <w:kern w:val="2"/>
          <w:sz w:val="32"/>
          <w:szCs w:val="32"/>
          <w:lang w:val="en-US" w:eastAsia="zh-CN" w:bidi="ar-SA"/>
        </w:rPr>
        <w:t>93.85</w:t>
      </w:r>
      <w:r>
        <w:rPr>
          <w:rFonts w:ascii="宋体" w:hAnsi="宋体" w:eastAsia="宋体"/>
        </w:rPr>
        <w:t>%，占全年总支出的</w:t>
      </w:r>
      <w:r>
        <w:rPr>
          <w:rFonts w:hint="eastAsia" w:ascii="宋体" w:hAnsi="宋体" w:eastAsia="宋体" w:cs="Arial"/>
          <w:color w:val="auto"/>
          <w:kern w:val="2"/>
          <w:sz w:val="32"/>
          <w:szCs w:val="32"/>
          <w:lang w:val="en-US" w:eastAsia="zh-CN" w:bidi="ar-SA"/>
        </w:rPr>
        <w:t>79.40</w:t>
      </w:r>
      <w:r>
        <w:rPr>
          <w:rFonts w:ascii="宋体" w:hAnsi="宋体" w:eastAsia="宋体"/>
        </w:rPr>
        <w:t>%。</w:t>
      </w:r>
    </w:p>
    <w:p>
      <w:pPr>
        <w:pStyle w:val="4"/>
        <w:spacing w:beforeLines="0" w:beforeAutospacing="0" w:afterLines="0" w:afterAutospacing="0" w:line="580" w:lineRule="exact"/>
        <w:jc w:val="both"/>
      </w:pPr>
      <w:r>
        <w:rPr>
          <w:rFonts w:ascii="宋体" w:hAnsi="宋体" w:eastAsia="宋体"/>
        </w:rPr>
        <w:t xml:space="preserve"> 1、基本支出情况</w:t>
      </w:r>
    </w:p>
    <w:p>
      <w:pPr>
        <w:pStyle w:val="6"/>
        <w:keepNext w:val="0"/>
        <w:keepLines w:val="0"/>
        <w:widowControl w:val="0"/>
        <w:kinsoku/>
        <w:overflowPunct/>
        <w:autoSpaceDE w:val="0"/>
        <w:bidi w:val="0"/>
        <w:snapToGrid/>
        <w:spacing w:beforeLines="0" w:beforeAutospacing="0" w:afterLines="0" w:afterAutospacing="0" w:line="580" w:lineRule="exact"/>
        <w:jc w:val="both"/>
        <w:textAlignment w:val="auto"/>
        <w:rPr>
          <w:rFonts w:ascii="宋体" w:hAnsi="宋体" w:eastAsia="宋体"/>
        </w:rPr>
      </w:pPr>
      <w:r>
        <w:rPr>
          <w:rFonts w:ascii="宋体" w:hAnsi="宋体" w:eastAsia="宋体" w:cs="仿宋_GB2312;仿宋"/>
          <w:color w:val="000000"/>
          <w:sz w:val="32"/>
          <w:szCs w:val="32"/>
          <w:lang w:val="zh-CN" w:eastAsia="zh-CN"/>
        </w:rPr>
        <w:t xml:space="preserve"> 社会保障和就业支</w:t>
      </w:r>
      <w:r>
        <w:rPr>
          <w:rFonts w:ascii="宋体" w:hAnsi="宋体" w:eastAsia="宋体" w:cs="仿宋_GB2312;仿宋"/>
          <w:color w:val="000000"/>
          <w:kern w:val="2"/>
          <w:sz w:val="32"/>
          <w:szCs w:val="32"/>
          <w:lang w:val="zh-CN" w:eastAsia="zh-CN" w:bidi="ar-SA"/>
        </w:rPr>
        <w:t>出</w:t>
      </w:r>
      <w:r>
        <w:rPr>
          <w:rFonts w:hint="eastAsia" w:ascii="宋体" w:hAnsi="宋体" w:eastAsia="宋体" w:cs="仿宋_GB2312;仿宋"/>
          <w:color w:val="000000"/>
          <w:kern w:val="2"/>
          <w:sz w:val="32"/>
          <w:szCs w:val="32"/>
          <w:lang w:val="en-US" w:eastAsia="zh-CN" w:bidi="ar-SA"/>
        </w:rPr>
        <w:t>20.09</w:t>
      </w:r>
      <w:r>
        <w:rPr>
          <w:rFonts w:ascii="宋体" w:hAnsi="宋体" w:eastAsia="宋体" w:cs="仿宋_GB2312;仿宋"/>
          <w:color w:val="000000"/>
          <w:kern w:val="2"/>
          <w:sz w:val="32"/>
          <w:szCs w:val="32"/>
          <w:lang w:val="zh-CN" w:eastAsia="zh-CN" w:bidi="ar-SA"/>
        </w:rPr>
        <w:t>万元，</w:t>
      </w:r>
      <w:bookmarkStart w:id="0" w:name="_Hlk80520906"/>
      <w:r>
        <w:rPr>
          <w:rFonts w:ascii="宋体" w:hAnsi="宋体" w:eastAsia="宋体" w:cs="仿宋_GB2312;仿宋"/>
          <w:color w:val="000000"/>
          <w:kern w:val="2"/>
          <w:sz w:val="32"/>
          <w:szCs w:val="32"/>
          <w:lang w:val="zh-CN" w:eastAsia="zh-CN" w:bidi="ar-SA"/>
        </w:rPr>
        <w:t>占</w:t>
      </w:r>
      <w:r>
        <w:rPr>
          <w:rFonts w:hint="eastAsia" w:ascii="宋体" w:hAnsi="宋体" w:eastAsia="宋体" w:cs="仿宋_GB2312;仿宋"/>
          <w:color w:val="000000"/>
          <w:kern w:val="2"/>
          <w:sz w:val="32"/>
          <w:szCs w:val="32"/>
          <w:lang w:val="en-US" w:eastAsia="zh-CN" w:bidi="ar-SA"/>
        </w:rPr>
        <w:t>6.48</w:t>
      </w:r>
      <w:r>
        <w:rPr>
          <w:rFonts w:ascii="宋体" w:hAnsi="宋体" w:eastAsia="宋体" w:cs="仿宋_GB2312;仿宋"/>
          <w:color w:val="000000"/>
          <w:kern w:val="2"/>
          <w:sz w:val="32"/>
          <w:szCs w:val="32"/>
          <w:lang w:val="zh-CN" w:eastAsia="zh-CN" w:bidi="ar-SA"/>
        </w:rPr>
        <w:t>%</w:t>
      </w:r>
      <w:bookmarkEnd w:id="0"/>
      <w:r>
        <w:rPr>
          <w:rFonts w:ascii="宋体" w:hAnsi="宋体" w:eastAsia="宋体" w:cs="仿宋_GB2312;仿宋"/>
          <w:color w:val="000000"/>
          <w:kern w:val="2"/>
          <w:sz w:val="32"/>
          <w:szCs w:val="32"/>
          <w:lang w:val="zh-CN" w:eastAsia="zh-CN" w:bidi="ar-SA"/>
        </w:rPr>
        <w:t>；卫生健康支出</w:t>
      </w:r>
      <w:r>
        <w:rPr>
          <w:rFonts w:hint="eastAsia" w:ascii="宋体" w:hAnsi="宋体" w:eastAsia="宋体" w:cs="仿宋_GB2312;仿宋"/>
          <w:color w:val="000000"/>
          <w:kern w:val="2"/>
          <w:sz w:val="32"/>
          <w:szCs w:val="32"/>
          <w:lang w:val="en-US" w:eastAsia="zh-CN" w:bidi="ar-SA"/>
        </w:rPr>
        <w:t>10.61</w:t>
      </w:r>
      <w:r>
        <w:rPr>
          <w:rFonts w:ascii="宋体" w:hAnsi="宋体" w:eastAsia="宋体" w:cs="仿宋_GB2312;仿宋"/>
          <w:color w:val="000000"/>
          <w:kern w:val="2"/>
          <w:sz w:val="32"/>
          <w:szCs w:val="32"/>
          <w:lang w:val="zh-CN" w:eastAsia="zh-CN" w:bidi="ar-SA"/>
        </w:rPr>
        <w:t>万元，占</w:t>
      </w:r>
      <w:r>
        <w:rPr>
          <w:rFonts w:hint="eastAsia" w:ascii="宋体" w:hAnsi="宋体" w:eastAsia="宋体" w:cs="仿宋_GB2312;仿宋"/>
          <w:color w:val="000000"/>
          <w:kern w:val="2"/>
          <w:sz w:val="32"/>
          <w:szCs w:val="32"/>
          <w:lang w:val="en-US" w:eastAsia="zh-CN" w:bidi="ar-SA"/>
        </w:rPr>
        <w:t>3.42</w:t>
      </w:r>
      <w:r>
        <w:rPr>
          <w:rFonts w:ascii="宋体" w:hAnsi="宋体" w:eastAsia="宋体" w:cs="仿宋_GB2312;仿宋"/>
          <w:color w:val="000000"/>
          <w:kern w:val="2"/>
          <w:sz w:val="32"/>
          <w:szCs w:val="32"/>
          <w:lang w:val="zh-CN" w:eastAsia="zh-CN" w:bidi="ar-SA"/>
        </w:rPr>
        <w:t>%；住房保障支出</w:t>
      </w:r>
      <w:r>
        <w:rPr>
          <w:rFonts w:hint="eastAsia" w:ascii="宋体" w:hAnsi="宋体" w:eastAsia="宋体" w:cs="仿宋_GB2312;仿宋"/>
          <w:color w:val="000000"/>
          <w:kern w:val="2"/>
          <w:sz w:val="32"/>
          <w:szCs w:val="32"/>
          <w:lang w:val="en-US" w:eastAsia="zh-CN" w:bidi="ar-SA"/>
        </w:rPr>
        <w:t>16.02</w:t>
      </w:r>
      <w:r>
        <w:rPr>
          <w:rFonts w:ascii="宋体" w:hAnsi="宋体" w:eastAsia="宋体" w:cs="仿宋_GB2312;仿宋"/>
          <w:color w:val="000000"/>
          <w:kern w:val="2"/>
          <w:sz w:val="32"/>
          <w:szCs w:val="32"/>
          <w:lang w:val="zh-CN" w:eastAsia="zh-CN" w:bidi="ar-SA"/>
        </w:rPr>
        <w:t>万元，占</w:t>
      </w:r>
      <w:r>
        <w:rPr>
          <w:rFonts w:hint="eastAsia" w:ascii="宋体" w:hAnsi="宋体" w:eastAsia="宋体" w:cs="仿宋_GB2312;仿宋"/>
          <w:color w:val="000000"/>
          <w:kern w:val="2"/>
          <w:sz w:val="32"/>
          <w:szCs w:val="32"/>
          <w:lang w:val="en-US" w:eastAsia="zh-CN" w:bidi="ar-SA"/>
        </w:rPr>
        <w:t>5.17</w:t>
      </w:r>
      <w:r>
        <w:rPr>
          <w:rFonts w:ascii="宋体" w:hAnsi="宋体" w:eastAsia="宋体" w:cs="仿宋_GB2312;仿宋"/>
          <w:color w:val="000000"/>
          <w:kern w:val="2"/>
          <w:sz w:val="32"/>
          <w:szCs w:val="32"/>
          <w:lang w:val="zh-CN" w:eastAsia="zh-CN" w:bidi="ar-SA"/>
        </w:rPr>
        <w:t>%。人员经费支出</w:t>
      </w:r>
      <w:r>
        <w:rPr>
          <w:rFonts w:hint="eastAsia" w:ascii="宋体" w:hAnsi="宋体" w:eastAsia="宋体" w:cs="仿宋_GB2312;仿宋"/>
          <w:color w:val="000000"/>
          <w:kern w:val="2"/>
          <w:sz w:val="32"/>
          <w:szCs w:val="32"/>
          <w:lang w:val="en-US" w:eastAsia="zh-CN" w:bidi="ar-SA"/>
        </w:rPr>
        <w:t>216.79</w:t>
      </w:r>
      <w:r>
        <w:rPr>
          <w:rFonts w:ascii="宋体" w:hAnsi="宋体" w:eastAsia="宋体" w:cs="仿宋_GB2312;仿宋"/>
          <w:color w:val="000000"/>
          <w:kern w:val="2"/>
          <w:sz w:val="32"/>
          <w:szCs w:val="32"/>
          <w:lang w:val="zh-CN" w:eastAsia="zh-CN" w:bidi="ar-SA"/>
        </w:rPr>
        <w:t>万元，占基本支出的</w:t>
      </w:r>
      <w:r>
        <w:rPr>
          <w:rFonts w:hint="eastAsia" w:ascii="宋体" w:hAnsi="宋体" w:eastAsia="宋体" w:cs="仿宋_GB2312;仿宋"/>
          <w:color w:val="000000"/>
          <w:kern w:val="2"/>
          <w:sz w:val="32"/>
          <w:szCs w:val="32"/>
          <w:lang w:val="en-US" w:eastAsia="zh-CN" w:bidi="ar-SA"/>
        </w:rPr>
        <w:t>69.93</w:t>
      </w:r>
      <w:r>
        <w:rPr>
          <w:rFonts w:ascii="宋体" w:hAnsi="宋体" w:eastAsia="宋体" w:cs="仿宋_GB2312;仿宋"/>
          <w:color w:val="000000"/>
          <w:kern w:val="2"/>
          <w:sz w:val="32"/>
          <w:szCs w:val="32"/>
          <w:lang w:val="zh-CN" w:eastAsia="zh-CN" w:bidi="ar-SA"/>
        </w:rPr>
        <w:t>%，日常公用经费支出</w:t>
      </w:r>
      <w:r>
        <w:rPr>
          <w:rFonts w:hint="eastAsia" w:ascii="宋体" w:hAnsi="宋体" w:eastAsia="宋体" w:cs="仿宋_GB2312;仿宋"/>
          <w:color w:val="000000"/>
          <w:kern w:val="2"/>
          <w:sz w:val="32"/>
          <w:szCs w:val="32"/>
          <w:lang w:val="en-US" w:eastAsia="zh-CN" w:bidi="ar-SA"/>
        </w:rPr>
        <w:t>29.37</w:t>
      </w:r>
      <w:r>
        <w:rPr>
          <w:rFonts w:ascii="宋体" w:hAnsi="宋体" w:eastAsia="宋体" w:cs="仿宋_GB2312;仿宋"/>
          <w:color w:val="000000"/>
          <w:kern w:val="2"/>
          <w:sz w:val="32"/>
          <w:szCs w:val="32"/>
          <w:lang w:val="zh-CN" w:eastAsia="zh-CN" w:bidi="ar-SA"/>
        </w:rPr>
        <w:t>万元，占基本支出的</w:t>
      </w:r>
      <w:r>
        <w:rPr>
          <w:rFonts w:hint="eastAsia" w:ascii="宋体" w:hAnsi="宋体" w:eastAsia="宋体" w:cs="仿宋_GB2312;仿宋"/>
          <w:color w:val="000000"/>
          <w:kern w:val="2"/>
          <w:sz w:val="32"/>
          <w:szCs w:val="32"/>
          <w:lang w:val="en-US" w:eastAsia="zh-CN" w:bidi="ar-SA"/>
        </w:rPr>
        <w:t>9.47</w:t>
      </w:r>
      <w:r>
        <w:rPr>
          <w:rFonts w:ascii="宋体" w:hAnsi="宋体" w:eastAsia="宋体" w:cs="仿宋_GB2312;仿宋"/>
          <w:color w:val="000000"/>
          <w:kern w:val="2"/>
          <w:sz w:val="32"/>
          <w:szCs w:val="32"/>
          <w:lang w:val="zh-CN" w:eastAsia="zh-CN" w:bidi="ar-SA"/>
        </w:rPr>
        <w:t>%。</w:t>
      </w:r>
    </w:p>
    <w:p>
      <w:pPr>
        <w:pStyle w:val="4"/>
        <w:spacing w:beforeLines="0" w:beforeAutospacing="0" w:afterLines="0" w:afterAutospacing="0" w:line="580" w:lineRule="exact"/>
        <w:jc w:val="both"/>
      </w:pPr>
      <w:r>
        <w:rPr>
          <w:rFonts w:ascii="宋体" w:hAnsi="宋体" w:eastAsia="宋体"/>
        </w:rPr>
        <w:t xml:space="preserve"> 2、“三公”经费支出情况，“三公”经费年初预算万 </w:t>
      </w:r>
      <w:r>
        <w:rPr>
          <w:rFonts w:hint="eastAsia" w:ascii="宋体" w:hAnsi="宋体" w:eastAsia="宋体"/>
          <w:lang w:val="en-US" w:eastAsia="zh-CN"/>
        </w:rPr>
        <w:t>0.8</w:t>
      </w:r>
      <w:r>
        <w:rPr>
          <w:rFonts w:ascii="宋体" w:hAnsi="宋体" w:eastAsia="宋体"/>
        </w:rPr>
        <w:t xml:space="preserve"> 元，其中公务接待费 </w:t>
      </w:r>
      <w:r>
        <w:rPr>
          <w:rFonts w:hint="eastAsia" w:ascii="宋体" w:hAnsi="宋体" w:eastAsia="宋体" w:cs="Arial"/>
          <w:color w:val="auto"/>
          <w:kern w:val="2"/>
          <w:sz w:val="32"/>
          <w:szCs w:val="32"/>
          <w:lang w:val="en-US" w:eastAsia="zh-CN" w:bidi="ar-SA"/>
        </w:rPr>
        <w:t>0.8</w:t>
      </w:r>
      <w:r>
        <w:rPr>
          <w:rFonts w:ascii="宋体" w:hAnsi="宋体" w:eastAsia="宋体"/>
        </w:rPr>
        <w:t xml:space="preserve">万元，公务用车运行费 </w:t>
      </w:r>
      <w:r>
        <w:rPr>
          <w:rFonts w:hint="eastAsia" w:ascii="宋体" w:hAnsi="宋体" w:eastAsia="宋体" w:cs="Arial"/>
          <w:color w:val="auto"/>
          <w:kern w:val="2"/>
          <w:sz w:val="32"/>
          <w:szCs w:val="32"/>
          <w:lang w:val="en-US" w:eastAsia="zh-CN" w:bidi="ar-SA"/>
        </w:rPr>
        <w:t>0</w:t>
      </w:r>
      <w:r>
        <w:rPr>
          <w:rFonts w:ascii="宋体" w:hAnsi="宋体" w:eastAsia="宋体"/>
        </w:rPr>
        <w:t>万元，出国考察经费0万元。实际“三公”经费支出</w:t>
      </w:r>
      <w:r>
        <w:rPr>
          <w:rFonts w:hint="eastAsia" w:ascii="宋体" w:hAnsi="宋体" w:eastAsia="宋体"/>
          <w:lang w:val="en-US" w:eastAsia="zh-CN"/>
        </w:rPr>
        <w:t>0</w:t>
      </w:r>
      <w:r>
        <w:rPr>
          <w:rFonts w:ascii="宋体" w:hAnsi="宋体" w:eastAsia="宋体"/>
        </w:rPr>
        <w:t>万元。</w:t>
      </w:r>
    </w:p>
    <w:p>
      <w:pPr>
        <w:pStyle w:val="4"/>
        <w:spacing w:beforeLines="50" w:beforeAutospacing="0" w:afterLines="0" w:afterAutospacing="0" w:line="580" w:lineRule="exact"/>
        <w:ind w:firstLine="640" w:firstLineChars="200"/>
        <w:jc w:val="both"/>
      </w:pPr>
      <w:r>
        <w:rPr>
          <w:rFonts w:ascii="宋体" w:hAnsi="宋体" w:eastAsia="宋体"/>
        </w:rPr>
        <w:t>3、资金管理情况(内部管理制度措施)</w:t>
      </w:r>
    </w:p>
    <w:p>
      <w:pPr>
        <w:pStyle w:val="4"/>
        <w:spacing w:beforeLines="0" w:beforeAutospacing="0" w:afterLines="0" w:afterAutospacing="0" w:line="580" w:lineRule="exact"/>
        <w:jc w:val="both"/>
      </w:pPr>
      <w:r>
        <w:rPr>
          <w:rFonts w:ascii="宋体" w:hAnsi="宋体" w:eastAsia="宋体" w:cs="仿宋_GB2312;仿宋"/>
          <w:color w:val="000000"/>
          <w:sz w:val="32"/>
          <w:szCs w:val="32"/>
          <w:lang w:val="en-US" w:eastAsia="zh-CN"/>
        </w:rPr>
        <w:t>(1)</w:t>
      </w:r>
      <w:r>
        <w:rPr>
          <w:rFonts w:ascii="宋体" w:hAnsi="宋体" w:eastAsia="宋体" w:cs="仿宋_GB2312;仿宋"/>
          <w:color w:val="000000"/>
          <w:spacing w:val="-20"/>
          <w:kern w:val="0"/>
          <w:sz w:val="32"/>
          <w:szCs w:val="32"/>
          <w:lang w:val="en-US" w:eastAsia="zh-CN"/>
        </w:rPr>
        <w:t>在执行各项资金预算中，严格按照中央、省、市、县级财务规定，管好、用好每笔资金。在专项项目资金使用过程中，严格按照项目资金管理办法规定做好项目实施和监管，切实做到专款专用，从而发挥项目资金对项目实施的促进作用，对涉及金额较大时，实行召开班子会议研究决定，杜绝违规违法事件的发生，严格控制“三公”经费的开支。</w:t>
      </w:r>
    </w:p>
    <w:p>
      <w:pPr>
        <w:pStyle w:val="4"/>
        <w:spacing w:beforeLines="50" w:beforeAutospacing="0" w:afterLines="0" w:afterAutospacing="0" w:line="580" w:lineRule="exact"/>
        <w:jc w:val="both"/>
      </w:pPr>
      <w:r>
        <w:rPr>
          <w:rFonts w:ascii="宋体" w:hAnsi="宋体" w:eastAsia="宋体" w:cs="仿宋_GB2312;仿宋"/>
          <w:color w:val="000000"/>
          <w:sz w:val="32"/>
          <w:szCs w:val="32"/>
          <w:lang w:val="en-US" w:eastAsia="zh-CN"/>
        </w:rPr>
        <w:t>（2）</w:t>
      </w:r>
      <w:r>
        <w:rPr>
          <w:rFonts w:ascii="宋体" w:hAnsi="宋体" w:eastAsia="宋体" w:cs="仿宋_GB2312;仿宋"/>
          <w:color w:val="000000"/>
          <w:spacing w:val="-20"/>
          <w:kern w:val="0"/>
          <w:sz w:val="32"/>
          <w:szCs w:val="32"/>
          <w:lang w:val="en-US" w:eastAsia="zh-CN"/>
        </w:rPr>
        <w:t>单位节能降耗。认真开展厉行节约反对浪费规定学习的同时，倡导全体单位干部职工弘扬艰苦奋斗、勤俭节约的优良作风，进一步推进建设节约型单位。首先节约办公用电。办公室、会议室等尽量采用自然光，做到人走断电。其次节约用水。强化节水意识，有水的地方张贴关水等提示语句，切实做到节约每一滴水，使其养成良好节水习惯。</w:t>
      </w:r>
      <w:r>
        <w:rPr>
          <w:rFonts w:ascii="宋体" w:hAnsi="宋体" w:eastAsia="宋体" w:cs="仿宋_GB2312;仿宋"/>
          <w:color w:val="000000"/>
          <w:spacing w:val="-20"/>
          <w:kern w:val="0"/>
          <w:sz w:val="32"/>
          <w:szCs w:val="32"/>
          <w:lang w:val="en-US" w:eastAsia="zh-CN" w:bidi="ar-SA"/>
        </w:rPr>
        <w:t>再次</w:t>
      </w:r>
      <w:r>
        <w:rPr>
          <w:rFonts w:ascii="宋体" w:hAnsi="宋体" w:eastAsia="宋体" w:cs="仿宋_GB2312;仿宋"/>
          <w:color w:val="000000"/>
          <w:spacing w:val="-20"/>
          <w:kern w:val="0"/>
          <w:sz w:val="32"/>
          <w:szCs w:val="32"/>
          <w:lang w:val="en-US" w:eastAsia="zh-CN"/>
        </w:rPr>
        <w:t>是节约办公费。加强办公用品的使用管理，规范办公用品的采购、领用，积极推行网络办公，尽量无纸化办公。</w:t>
      </w:r>
    </w:p>
    <w:p>
      <w:pPr>
        <w:pStyle w:val="4"/>
        <w:spacing w:beforeLines="50" w:beforeAutospacing="0" w:afterLines="0" w:afterAutospacing="0" w:line="580" w:lineRule="exact"/>
        <w:jc w:val="both"/>
      </w:pPr>
      <w:r>
        <w:rPr>
          <w:rFonts w:ascii="宋体" w:hAnsi="宋体" w:eastAsia="宋体" w:cs="仿宋_GB2312;仿宋"/>
          <w:color w:val="000000"/>
          <w:sz w:val="32"/>
          <w:szCs w:val="32"/>
          <w:lang w:val="en-US" w:eastAsia="zh-CN"/>
        </w:rPr>
        <w:t>（3）根据内设机构的职责和分工，对按照法定程序批复的预算进行合理分解，规范内部预算追加调整程序，发挥预算对经济活动的管控作用。</w:t>
      </w:r>
    </w:p>
    <w:p>
      <w:pPr>
        <w:pStyle w:val="4"/>
        <w:spacing w:beforeLines="50" w:beforeAutospacing="0" w:afterLines="0" w:afterAutospacing="0" w:line="580" w:lineRule="exact"/>
        <w:jc w:val="both"/>
      </w:pPr>
      <w:r>
        <w:rPr>
          <w:rFonts w:ascii="宋体" w:hAnsi="宋体" w:eastAsia="宋体" w:cs="仿宋_GB2312;仿宋"/>
          <w:color w:val="000000"/>
          <w:sz w:val="32"/>
          <w:szCs w:val="32"/>
          <w:lang w:val="en-US" w:eastAsia="zh-CN"/>
        </w:rPr>
        <w:t>（4）单位应当根据批复的预算安排各项收支，确保预算严格有效执行。单位应当建立预算执行分析机制。定期通报预算执行情况，召开预算执行分析会议，研究解决预算执行中存在的问题，提出改进措施，提高预算执行的有效性。</w:t>
      </w:r>
    </w:p>
    <w:p>
      <w:pPr>
        <w:pStyle w:val="4"/>
        <w:spacing w:beforeLines="50" w:beforeAutospacing="0" w:afterLines="0" w:afterAutospacing="0" w:line="580" w:lineRule="exact"/>
        <w:jc w:val="both"/>
      </w:pPr>
      <w:r>
        <w:rPr>
          <w:rFonts w:ascii="宋体" w:hAnsi="宋体" w:eastAsia="宋体" w:cs="仿宋_GB2312;仿宋"/>
          <w:color w:val="000000"/>
          <w:sz w:val="32"/>
          <w:szCs w:val="32"/>
          <w:lang w:val="en-US" w:eastAsia="zh-CN"/>
        </w:rPr>
        <w:t>（5）单位应当加强决算管理，确保决算真实、完整、准确、及时，加强决算分析工作，强化决算分析结果运用，建立健全单位预算与决算相互反映、相互促进的机制。</w:t>
      </w:r>
    </w:p>
    <w:p>
      <w:pPr>
        <w:pStyle w:val="4"/>
        <w:spacing w:beforeLines="50" w:beforeAutospacing="0" w:afterLines="0" w:afterAutospacing="0" w:line="580" w:lineRule="exact"/>
        <w:jc w:val="both"/>
      </w:pPr>
      <w:r>
        <w:rPr>
          <w:rFonts w:ascii="宋体" w:hAnsi="宋体" w:eastAsia="宋体" w:cs="仿宋_GB2312;仿宋"/>
          <w:color w:val="000000"/>
          <w:sz w:val="32"/>
          <w:szCs w:val="32"/>
          <w:lang w:val="en-US" w:eastAsia="zh-CN"/>
        </w:rPr>
        <w:t>（6）单位应当加强预算绩效管理，建立“预算编制有目标、预算执行有监控、预算完成有评价、评价结果有反馈、反馈结果有应用”的全过程预算绩效管理机制。</w:t>
      </w:r>
    </w:p>
    <w:p>
      <w:pPr>
        <w:pStyle w:val="4"/>
        <w:spacing w:beforeLines="50" w:beforeAutospacing="0" w:afterLines="0" w:afterAutospacing="0" w:line="580" w:lineRule="exact"/>
        <w:jc w:val="both"/>
      </w:pPr>
      <w:r>
        <w:rPr>
          <w:b/>
          <w:bCs/>
        </w:rPr>
        <w:t>四、整体支出绩效目标完成情况</w:t>
      </w:r>
      <w:r>
        <w:t xml:space="preserve">  </w:t>
      </w:r>
    </w:p>
    <w:p>
      <w:pPr>
        <w:pStyle w:val="4"/>
        <w:keepNext w:val="0"/>
        <w:keepLines w:val="0"/>
        <w:pageBreakBefore w:val="0"/>
        <w:kinsoku/>
        <w:overflowPunct/>
        <w:bidi w:val="0"/>
        <w:snapToGrid/>
        <w:spacing w:beforeLines="50" w:beforeAutospacing="0" w:afterLines="0" w:afterAutospacing="0" w:line="580" w:lineRule="exact"/>
        <w:jc w:val="both"/>
        <w:textAlignment w:val="auto"/>
      </w:pPr>
      <w:r>
        <w:rPr>
          <w:rFonts w:ascii="宋体" w:hAnsi="宋体" w:eastAsia="宋体" w:cs="仿宋_GB2312;仿宋"/>
          <w:color w:val="000000"/>
          <w:sz w:val="32"/>
          <w:szCs w:val="32"/>
          <w:lang w:val="zh-CN"/>
        </w:rPr>
        <w:t xml:space="preserve"> 1、做好了</w:t>
      </w:r>
      <w:r>
        <w:rPr>
          <w:rFonts w:ascii="宋体" w:hAnsi="宋体" w:eastAsia="宋体" w:cs="仿宋_GB2312;仿宋"/>
          <w:color w:val="000000"/>
          <w:kern w:val="2"/>
          <w:sz w:val="32"/>
          <w:szCs w:val="32"/>
          <w:lang w:val="zh-CN" w:eastAsia="zh-CN" w:bidi="ar-SA"/>
        </w:rPr>
        <w:t>全单位</w:t>
      </w:r>
      <w:r>
        <w:rPr>
          <w:rFonts w:ascii="宋体" w:hAnsi="宋体" w:eastAsia="宋体" w:cs="仿宋_GB2312;仿宋"/>
          <w:color w:val="000000"/>
          <w:sz w:val="32"/>
          <w:szCs w:val="32"/>
          <w:lang w:val="en-US" w:eastAsia="zh-CN"/>
        </w:rPr>
        <w:t>干部职工</w:t>
      </w:r>
      <w:r>
        <w:rPr>
          <w:rFonts w:ascii="宋体" w:hAnsi="宋体" w:eastAsia="宋体" w:cs="仿宋_GB2312;仿宋"/>
          <w:color w:val="000000"/>
          <w:sz w:val="32"/>
          <w:szCs w:val="32"/>
          <w:lang w:val="zh-CN"/>
        </w:rPr>
        <w:t>的思想政治工作。</w:t>
      </w:r>
    </w:p>
    <w:p>
      <w:pPr>
        <w:pStyle w:val="4"/>
        <w:keepNext w:val="0"/>
        <w:keepLines w:val="0"/>
        <w:pageBreakBefore w:val="0"/>
        <w:kinsoku/>
        <w:overflowPunct/>
        <w:bidi w:val="0"/>
        <w:snapToGrid/>
        <w:spacing w:beforeLines="50" w:beforeAutospacing="0" w:afterLines="0" w:afterAutospacing="0" w:line="580" w:lineRule="exact"/>
        <w:jc w:val="both"/>
        <w:textAlignment w:val="auto"/>
      </w:pPr>
      <w:r>
        <w:rPr>
          <w:rFonts w:ascii="宋体" w:hAnsi="宋体" w:eastAsia="宋体" w:cs="仿宋_GB2312;仿宋"/>
          <w:color w:val="000000"/>
          <w:sz w:val="32"/>
          <w:szCs w:val="32"/>
          <w:lang w:val="zh-CN"/>
        </w:rPr>
        <w:t xml:space="preserve"> 2、积极开展</w:t>
      </w:r>
      <w:r>
        <w:rPr>
          <w:rFonts w:ascii="宋体" w:hAnsi="宋体" w:eastAsia="宋体" w:cs="仿宋_GB2312;仿宋"/>
          <w:color w:val="000000"/>
          <w:kern w:val="2"/>
          <w:sz w:val="32"/>
          <w:szCs w:val="32"/>
          <w:lang w:val="zh-CN" w:eastAsia="zh-CN" w:bidi="ar-SA"/>
        </w:rPr>
        <w:t>安全事务性</w:t>
      </w:r>
      <w:r>
        <w:rPr>
          <w:rFonts w:ascii="宋体" w:hAnsi="宋体" w:eastAsia="宋体" w:cs="仿宋_GB2312;仿宋"/>
          <w:color w:val="000000"/>
          <w:sz w:val="32"/>
          <w:szCs w:val="32"/>
          <w:lang w:val="zh-CN"/>
        </w:rPr>
        <w:t>服务指导</w:t>
      </w:r>
      <w:r>
        <w:rPr>
          <w:rFonts w:ascii="宋体" w:hAnsi="宋体" w:eastAsia="宋体" w:cs="仿宋_GB2312;仿宋"/>
          <w:color w:val="000000"/>
          <w:sz w:val="32"/>
          <w:szCs w:val="32"/>
          <w:lang w:val="en-US" w:eastAsia="zh-CN"/>
        </w:rPr>
        <w:t>宣传</w:t>
      </w:r>
      <w:r>
        <w:rPr>
          <w:rFonts w:ascii="宋体" w:hAnsi="宋体" w:eastAsia="宋体" w:cs="仿宋_GB2312;仿宋"/>
          <w:color w:val="000000"/>
          <w:sz w:val="32"/>
          <w:szCs w:val="32"/>
          <w:lang w:val="zh-CN"/>
        </w:rPr>
        <w:t>活动。</w:t>
      </w:r>
    </w:p>
    <w:p>
      <w:pPr>
        <w:pStyle w:val="4"/>
        <w:spacing w:beforeLines="50" w:beforeAutospacing="0" w:afterLines="0" w:afterAutospacing="0" w:line="580" w:lineRule="exact"/>
        <w:jc w:val="both"/>
      </w:pPr>
      <w:r>
        <w:rPr>
          <w:rFonts w:ascii="宋体" w:hAnsi="宋体" w:eastAsia="宋体" w:cs="Arial"/>
          <w:color w:val="auto"/>
          <w:spacing w:val="-20"/>
          <w:kern w:val="2"/>
          <w:sz w:val="32"/>
          <w:szCs w:val="32"/>
          <w:lang w:val="en-US" w:eastAsia="zh-CN" w:bidi="ar-SA"/>
        </w:rPr>
        <w:t xml:space="preserve"> 3、</w:t>
      </w:r>
      <w:r>
        <w:rPr>
          <w:rFonts w:ascii="宋体" w:hAnsi="宋体" w:eastAsia="宋体" w:cs="仿宋_GB2312;仿宋"/>
          <w:color w:val="000000"/>
          <w:spacing w:val="-20"/>
          <w:kern w:val="0"/>
          <w:sz w:val="32"/>
          <w:szCs w:val="32"/>
          <w:lang w:val="en-US" w:eastAsia="zh-CN"/>
        </w:rPr>
        <w:t>在保障工作正常运转的同时，认真履行好职能职。</w:t>
      </w:r>
    </w:p>
    <w:p>
      <w:pPr>
        <w:pStyle w:val="4"/>
        <w:spacing w:beforeLines="50" w:beforeAutospacing="0" w:afterLines="0" w:afterAutospacing="0" w:line="580" w:lineRule="exact"/>
        <w:jc w:val="both"/>
      </w:pPr>
      <w:r>
        <w:rPr>
          <w:b/>
          <w:bCs/>
        </w:rPr>
        <w:t>五、存在的问题</w:t>
      </w:r>
    </w:p>
    <w:p>
      <w:pPr>
        <w:pStyle w:val="4"/>
        <w:keepNext w:val="0"/>
        <w:keepLines w:val="0"/>
        <w:pageBreakBefore w:val="0"/>
        <w:kinsoku/>
        <w:overflowPunct/>
        <w:bidi w:val="0"/>
        <w:snapToGrid/>
        <w:spacing w:beforeLines="50" w:beforeAutospacing="0" w:afterLines="0" w:afterAutospacing="0" w:line="580" w:lineRule="exact"/>
        <w:jc w:val="both"/>
        <w:textAlignment w:val="auto"/>
      </w:pPr>
      <w:r>
        <w:rPr>
          <w:rFonts w:ascii="宋体" w:hAnsi="宋体" w:eastAsia="宋体" w:cs="仿宋_GB2312;仿宋"/>
          <w:color w:val="000000"/>
          <w:sz w:val="32"/>
          <w:szCs w:val="32"/>
        </w:rPr>
        <w:t xml:space="preserve"> 1、</w:t>
      </w:r>
      <w:r>
        <w:rPr>
          <w:rFonts w:ascii="宋体" w:hAnsi="宋体" w:eastAsia="宋体" w:cs="仿宋_GB2312;仿宋"/>
          <w:color w:val="000000"/>
          <w:sz w:val="32"/>
          <w:szCs w:val="32"/>
          <w:lang w:eastAsia="zh-CN"/>
        </w:rPr>
        <w:t>单位</w:t>
      </w:r>
      <w:r>
        <w:rPr>
          <w:rFonts w:hint="eastAsia" w:ascii="宋体" w:hAnsi="宋体" w:eastAsia="宋体" w:cs="仿宋_GB2312;仿宋"/>
          <w:color w:val="000000"/>
          <w:sz w:val="32"/>
          <w:szCs w:val="32"/>
          <w:lang w:val="en-US" w:eastAsia="zh-CN"/>
        </w:rPr>
        <w:t>差、自人员</w:t>
      </w:r>
      <w:bookmarkStart w:id="1" w:name="_GoBack"/>
      <w:bookmarkEnd w:id="1"/>
      <w:r>
        <w:rPr>
          <w:rFonts w:ascii="宋体" w:hAnsi="宋体" w:eastAsia="宋体" w:cs="仿宋_GB2312;仿宋"/>
          <w:color w:val="000000"/>
          <w:sz w:val="32"/>
          <w:szCs w:val="32"/>
          <w:lang w:eastAsia="zh-CN"/>
        </w:rPr>
        <w:t>较多</w:t>
      </w:r>
      <w:r>
        <w:rPr>
          <w:rFonts w:ascii="宋体" w:hAnsi="宋体" w:eastAsia="宋体" w:cs="仿宋_GB2312;仿宋"/>
          <w:color w:val="000000"/>
          <w:sz w:val="32"/>
          <w:szCs w:val="32"/>
        </w:rPr>
        <w:t>，</w:t>
      </w:r>
      <w:r>
        <w:rPr>
          <w:rFonts w:ascii="宋体" w:hAnsi="宋体" w:eastAsia="宋体" w:cs="仿宋_GB2312;仿宋"/>
          <w:color w:val="000000"/>
          <w:sz w:val="32"/>
          <w:szCs w:val="32"/>
          <w:lang w:eastAsia="zh-CN"/>
        </w:rPr>
        <w:t>工作经费严重不足，</w:t>
      </w:r>
      <w:r>
        <w:rPr>
          <w:rFonts w:ascii="宋体" w:hAnsi="宋体" w:eastAsia="宋体" w:cs="仿宋_GB2312;仿宋"/>
          <w:color w:val="000000"/>
          <w:sz w:val="32"/>
          <w:szCs w:val="32"/>
        </w:rPr>
        <w:t>不利于工作开展</w:t>
      </w:r>
      <w:r>
        <w:rPr>
          <w:rFonts w:ascii="宋体" w:hAnsi="宋体" w:eastAsia="宋体" w:cs="仿宋_GB2312;仿宋"/>
          <w:color w:val="000000"/>
          <w:sz w:val="32"/>
          <w:szCs w:val="32"/>
          <w:lang w:eastAsia="zh-CN"/>
        </w:rPr>
        <w:t>。</w:t>
      </w:r>
    </w:p>
    <w:p>
      <w:pPr>
        <w:pStyle w:val="4"/>
        <w:keepNext w:val="0"/>
        <w:keepLines w:val="0"/>
        <w:pageBreakBefore w:val="0"/>
        <w:widowControl w:val="0"/>
        <w:numPr>
          <w:ilvl w:val="0"/>
          <w:numId w:val="0"/>
        </w:numPr>
        <w:kinsoku/>
        <w:overflowPunct/>
        <w:bidi w:val="0"/>
        <w:snapToGrid w:val="0"/>
        <w:spacing w:beforeLines="50" w:beforeAutospacing="0" w:afterLines="0" w:afterAutospacing="0" w:line="580" w:lineRule="exact"/>
        <w:jc w:val="both"/>
        <w:textAlignment w:val="auto"/>
      </w:pPr>
      <w:r>
        <w:rPr>
          <w:rFonts w:ascii="宋体" w:hAnsi="宋体" w:eastAsia="宋体" w:cs="仿宋_GB2312;仿宋"/>
          <w:color w:val="000000"/>
          <w:spacing w:val="-20"/>
          <w:kern w:val="0"/>
          <w:sz w:val="32"/>
          <w:szCs w:val="32"/>
          <w:lang w:val="en-US" w:eastAsia="zh-CN"/>
        </w:rPr>
        <w:t xml:space="preserve"> 2、部分资料收集不够完善，归档不够规范；经办人员的业务能力有待提高。</w:t>
      </w:r>
    </w:p>
    <w:p>
      <w:pPr>
        <w:pStyle w:val="4"/>
        <w:spacing w:beforeLines="50" w:beforeAutospacing="0" w:afterLines="0" w:afterAutospacing="0" w:line="580" w:lineRule="exact"/>
        <w:jc w:val="both"/>
      </w:pPr>
      <w:r>
        <w:rPr>
          <w:b/>
          <w:bCs/>
        </w:rPr>
        <w:t>六、改进措施与建议</w:t>
      </w:r>
    </w:p>
    <w:p>
      <w:pPr>
        <w:pStyle w:val="4"/>
        <w:keepNext w:val="0"/>
        <w:keepLines w:val="0"/>
        <w:pageBreakBefore w:val="0"/>
        <w:kinsoku/>
        <w:overflowPunct/>
        <w:bidi w:val="0"/>
        <w:snapToGrid/>
        <w:spacing w:beforeLines="50" w:beforeAutospacing="0" w:afterLines="0" w:afterAutospacing="0" w:line="580" w:lineRule="exact"/>
        <w:jc w:val="both"/>
        <w:textAlignment w:val="auto"/>
      </w:pPr>
      <w:r>
        <w:rPr>
          <w:rFonts w:ascii="宋体" w:hAnsi="宋体" w:eastAsia="宋体" w:cs="仿宋_GB2312;仿宋"/>
          <w:color w:val="000000"/>
          <w:sz w:val="32"/>
          <w:szCs w:val="32"/>
        </w:rPr>
        <w:t xml:space="preserve"> 1、强化内部管理，进一步完善管理制度。</w:t>
      </w:r>
    </w:p>
    <w:p>
      <w:pPr>
        <w:pStyle w:val="4"/>
        <w:keepNext w:val="0"/>
        <w:keepLines w:val="0"/>
        <w:kinsoku/>
        <w:overflowPunct/>
        <w:bidi w:val="0"/>
        <w:snapToGrid/>
        <w:spacing w:beforeLines="50" w:beforeAutospacing="0" w:afterLines="0" w:afterAutospacing="0" w:line="580" w:lineRule="exact"/>
        <w:jc w:val="both"/>
        <w:textAlignment w:val="auto"/>
      </w:pPr>
      <w:r>
        <w:rPr>
          <w:rFonts w:ascii="宋体" w:hAnsi="宋体" w:eastAsia="宋体" w:cs="仿宋_GB2312;仿宋"/>
          <w:b w:val="0"/>
          <w:bCs w:val="0"/>
          <w:color w:val="000000"/>
          <w:sz w:val="32"/>
          <w:szCs w:val="32"/>
        </w:rPr>
        <w:t xml:space="preserve"> 2、建议县级预算安排好经费，确保实施到位。</w:t>
      </w:r>
    </w:p>
    <w:p>
      <w:pPr>
        <w:pStyle w:val="4"/>
        <w:keepNext w:val="0"/>
        <w:keepLines w:val="0"/>
        <w:pageBreakBefore w:val="0"/>
        <w:widowControl w:val="0"/>
        <w:kinsoku/>
        <w:overflowPunct/>
        <w:bidi w:val="0"/>
        <w:snapToGrid w:val="0"/>
        <w:spacing w:beforeLines="50" w:beforeAutospacing="0" w:afterLines="0" w:afterAutospacing="0" w:line="580" w:lineRule="exact"/>
        <w:jc w:val="both"/>
        <w:textAlignment w:val="auto"/>
      </w:pPr>
      <w:r>
        <w:rPr>
          <w:rFonts w:ascii="宋体" w:hAnsi="宋体" w:eastAsia="宋体" w:cs="仿宋_GB2312;仿宋"/>
          <w:b w:val="0"/>
          <w:bCs w:val="0"/>
          <w:color w:val="000000"/>
          <w:spacing w:val="-20"/>
          <w:kern w:val="0"/>
          <w:sz w:val="32"/>
          <w:szCs w:val="32"/>
          <w:lang w:val="en-US" w:eastAsia="zh-CN"/>
        </w:rPr>
        <w:t xml:space="preserve"> 3、进一步加强与财政等部门的沟通联系，积极参加各类学习、培训，努力提高业务能力、服务意识和服务水平。</w:t>
      </w:r>
    </w:p>
    <w:p>
      <w:pPr>
        <w:pStyle w:val="4"/>
        <w:spacing w:beforeLines="0" w:beforeAutospacing="0" w:afterLines="0" w:afterAutospacing="0" w:line="580" w:lineRule="exact"/>
        <w:contextualSpacing/>
        <w:rPr>
          <w:b w:val="0"/>
          <w:bCs w:val="0"/>
        </w:rPr>
      </w:pPr>
    </w:p>
    <w:p>
      <w:pPr>
        <w:pStyle w:val="4"/>
        <w:spacing w:beforeLines="0" w:beforeAutospacing="0" w:afterLines="0" w:afterAutospacing="0" w:line="580" w:lineRule="exact"/>
        <w:contextualSpacing/>
      </w:pPr>
    </w:p>
    <w:p>
      <w:pPr>
        <w:pStyle w:val="4"/>
        <w:spacing w:line="560" w:lineRule="atLeast"/>
      </w:pPr>
    </w:p>
    <w:p>
      <w:pPr>
        <w:pStyle w:val="4"/>
        <w:spacing w:line="336" w:lineRule="auto"/>
      </w:pPr>
    </w:p>
    <w:sectPr>
      <w:footerReference r:id="rId3" w:type="default"/>
      <w:pgSz w:w="11906" w:h="16838"/>
      <w:pgMar w:top="1531" w:right="1418" w:bottom="1531" w:left="1701" w:header="0" w:footer="992" w:gutter="0"/>
      <w:pgNumType w:fmt="decimal"/>
      <w:cols w:space="720" w:num="1"/>
      <w:formProt w:val="0"/>
      <w:docGrid w:linePitch="312" w:charSpace="262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954594"/>
      <w:docPartObj>
        <w:docPartGallery w:val="autotext"/>
      </w:docPartObj>
    </w:sdtPr>
    <w:sdtContent>
      <w:p>
        <w:pPr>
          <w:pStyle w:val="5"/>
          <w:spacing w:beforeLines="65" w:beforeAutospacing="0" w:afterLines="0" w:afterAutospacing="0"/>
          <w:jc w:val="center"/>
        </w:pPr>
        <w:r>
          <w:fldChar w:fldCharType="begin"/>
        </w:r>
        <w:r>
          <w:instrText xml:space="preserve">PAGE</w:instrText>
        </w:r>
        <w:r>
          <w:fldChar w:fldCharType="separate"/>
        </w:r>
        <w:r>
          <w:t>13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autoHyphenation/>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37587"/>
    <w:rsid w:val="17E109EA"/>
    <w:rsid w:val="4B3D1D38"/>
    <w:rsid w:val="5BE82671"/>
    <w:rsid w:val="682561D3"/>
    <w:rsid w:val="6F402885"/>
    <w:rsid w:val="788C60B5"/>
    <w:rsid w:val="7F274A82"/>
    <w:rsid w:val="7FA65EFB"/>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65" w:beforeAutospacing="0" w:afterLines="0" w:afterAutospacing="0"/>
      <w:jc w:val="both"/>
    </w:pPr>
    <w:rPr>
      <w:rFonts w:ascii="Calibri" w:hAnsi="Calibri" w:eastAsia="仿宋_GB2312" w:cs="Arial"/>
      <w:color w:val="auto"/>
      <w:kern w:val="2"/>
      <w:sz w:val="32"/>
      <w:szCs w:val="32"/>
      <w:lang w:val="en-US" w:eastAsia="zh-CN" w:bidi="ar-SA"/>
    </w:rPr>
  </w:style>
  <w:style w:type="paragraph" w:customStyle="1" w:styleId="5">
    <w:name w:val="页脚1"/>
    <w:basedOn w:val="4"/>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suppressAutoHyphens w:val="0"/>
      <w:autoSpaceDE w:val="0"/>
      <w:bidi w:val="0"/>
      <w:spacing w:beforeLines="0" w:beforeAutospacing="0" w:afterLines="0" w:afterAutospacing="0"/>
      <w:jc w:val="left"/>
    </w:pPr>
    <w:rPr>
      <w:rFonts w:ascii="黑体" w:hAnsi="黑体"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13</Pages>
  <Words>6357</Words>
  <Characters>6720</Characters>
  <Paragraphs>375</Paragraphs>
  <TotalTime>88</TotalTime>
  <ScaleCrop>false</ScaleCrop>
  <LinksUpToDate>false</LinksUpToDate>
  <CharactersWithSpaces>7190</CharactersWithSpaces>
  <Application>WPS Office_11.1.0.10941_F1E327BC-269C-435d-A152-05C5408002CA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2022-05-11T02:22:00Z</dcterms:created>
  <dc:creator>Administrator</dc:creator>
  <cp:lastModifiedBy>Administrator</cp:lastModifiedBy>
  <dcterms:modified xsi:type="dcterms:W3CDTF">2022-05-16T01:34:02Z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F1AD0186154E457BBC36FB07ADCF1256</vt:lpwstr>
  </property>
</Properties>
</file>