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9"/>
        <w:tblW w:w="10600" w:type="dxa"/>
        <w:jc w:val="center"/>
        <w:tblInd w:w="0" w:type="dxa"/>
        <w:tblLayout w:type="fixed"/>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Layout w:type="fixed"/>
          <w:tblCellMar>
            <w:top w:w="0" w:type="dxa"/>
            <w:left w:w="10" w:type="dxa"/>
            <w:bottom w:w="0" w:type="dxa"/>
            <w:right w:w="10" w:type="dxa"/>
          </w:tblCellMar>
        </w:tblPrEx>
        <w:trPr>
          <w:tblHeader/>
          <w:jc w:val="center"/>
        </w:trPr>
        <w:tc>
          <w:tcPr>
            <w:tcW w:w="5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Layout w:type="fixed"/>
          <w:tblCellMar>
            <w:top w:w="0" w:type="dxa"/>
            <w:left w:w="10" w:type="dxa"/>
            <w:bottom w:w="0" w:type="dxa"/>
            <w:right w:w="10" w:type="dxa"/>
          </w:tblCellMar>
        </w:tblPrEx>
        <w:trPr>
          <w:trHeight w:val="1814" w:hRule="atLeast"/>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35"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5</w:t>
            </w:r>
            <w:r>
              <w:rPr>
                <w:rFonts w:ascii="仿宋" w:eastAsia="仿宋"/>
                <w:sz w:val="24"/>
                <w:szCs w:val="24"/>
              </w:rPr>
              <w:t>　</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5</w:t>
            </w:r>
            <w:r>
              <w:rPr>
                <w:rFonts w:ascii="仿宋" w:eastAsia="仿宋"/>
                <w:sz w:val="24"/>
                <w:szCs w:val="24"/>
              </w:rPr>
              <w:t>　</w:t>
            </w:r>
          </w:p>
        </w:tc>
      </w:tr>
      <w:tr>
        <w:tblPrEx>
          <w:tblLayout w:type="fixed"/>
          <w:tblCellMar>
            <w:top w:w="0" w:type="dxa"/>
            <w:left w:w="10" w:type="dxa"/>
            <w:bottom w:w="0" w:type="dxa"/>
            <w:right w:w="10" w:type="dxa"/>
          </w:tblCellMar>
        </w:tblPrEx>
        <w:trPr>
          <w:trHeight w:val="12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4</w:t>
            </w:r>
          </w:p>
        </w:tc>
      </w:tr>
      <w:tr>
        <w:tblPrEx>
          <w:tblLayout w:type="fixed"/>
          <w:tblCellMar>
            <w:top w:w="0" w:type="dxa"/>
            <w:left w:w="10" w:type="dxa"/>
            <w:bottom w:w="0" w:type="dxa"/>
            <w:right w:w="10" w:type="dxa"/>
          </w:tblCellMar>
        </w:tblPrEx>
        <w:trPr>
          <w:trHeight w:val="1325"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trHeight w:val="154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trHeight w:val="1562"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6</w:t>
            </w:r>
          </w:p>
        </w:tc>
      </w:tr>
      <w:tr>
        <w:tblPrEx>
          <w:tblLayout w:type="fixed"/>
          <w:tblCellMar>
            <w:top w:w="0" w:type="dxa"/>
            <w:left w:w="10" w:type="dxa"/>
            <w:bottom w:w="0" w:type="dxa"/>
            <w:right w:w="10" w:type="dxa"/>
          </w:tblCellMar>
        </w:tblPrEx>
        <w:trPr>
          <w:trHeight w:val="10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7</w:t>
            </w:r>
          </w:p>
        </w:tc>
      </w:tr>
      <w:tr>
        <w:tblPrEx>
          <w:tblLayout w:type="fixed"/>
          <w:tblCellMar>
            <w:top w:w="0" w:type="dxa"/>
            <w:left w:w="10" w:type="dxa"/>
            <w:bottom w:w="0" w:type="dxa"/>
            <w:right w:w="10" w:type="dxa"/>
          </w:tblCellMar>
        </w:tblPrEx>
        <w:trPr>
          <w:trHeight w:val="918"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6</w:t>
            </w:r>
          </w:p>
        </w:tc>
      </w:tr>
      <w:tr>
        <w:tblPrEx>
          <w:tblLayout w:type="fixed"/>
          <w:tblCellMar>
            <w:top w:w="0" w:type="dxa"/>
            <w:left w:w="10" w:type="dxa"/>
            <w:bottom w:w="0" w:type="dxa"/>
            <w:right w:w="10" w:type="dxa"/>
          </w:tblCellMar>
        </w:tblPrEx>
        <w:trPr>
          <w:jc w:val="center"/>
        </w:trPr>
        <w:tc>
          <w:tcPr>
            <w:tcW w:w="517"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6</w:t>
            </w:r>
            <w:r>
              <w:rPr>
                <w:rFonts w:ascii="仿宋" w:eastAsia="仿宋"/>
                <w:sz w:val="24"/>
                <w:szCs w:val="24"/>
              </w:rPr>
              <w:t>　</w:t>
            </w:r>
          </w:p>
        </w:tc>
      </w:tr>
      <w:tr>
        <w:tblPrEx>
          <w:tblLayout w:type="fixed"/>
          <w:tblCellMar>
            <w:top w:w="0" w:type="dxa"/>
            <w:left w:w="10" w:type="dxa"/>
            <w:bottom w:w="0" w:type="dxa"/>
            <w:right w:w="10" w:type="dxa"/>
          </w:tblCellMar>
        </w:tblPrEx>
        <w:trPr>
          <w:trHeight w:val="3936"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6</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2"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0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8</w:t>
            </w:r>
            <w:r>
              <w:rPr>
                <w:rFonts w:ascii="仿宋" w:eastAsia="仿宋"/>
                <w:sz w:val="24"/>
                <w:szCs w:val="24"/>
              </w:rPr>
              <w:t>　</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5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407"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10</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56" w:type="dxa"/>
            <w:vMerge w:val="continue"/>
            <w:tcBorders>
              <w:left w:val="single" w:color="000000" w:sz="4" w:space="0"/>
              <w:right w:val="single" w:color="000000" w:sz="4" w:space="0"/>
            </w:tcBorders>
            <w:tcMar>
              <w:left w:w="108" w:type="dxa"/>
              <w:right w:w="108" w:type="dxa"/>
            </w:tcMar>
            <w:vAlign w:val="center"/>
          </w:tcPr>
          <w:p/>
        </w:tc>
        <w:tc>
          <w:tcPr>
            <w:tcW w:w="6407"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6</w:t>
            </w:r>
            <w:r>
              <w:rPr>
                <w:rFonts w:ascii="仿宋" w:eastAsia="仿宋"/>
                <w:sz w:val="24"/>
                <w:szCs w:val="24"/>
              </w:rPr>
              <w:t>　</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9"/>
        <w:tblW w:w="10339" w:type="dxa"/>
        <w:jc w:val="center"/>
        <w:tblInd w:w="0" w:type="dxa"/>
        <w:tblLayout w:type="fixed"/>
        <w:tblCellMar>
          <w:top w:w="0" w:type="dxa"/>
          <w:left w:w="10" w:type="dxa"/>
          <w:bottom w:w="0" w:type="dxa"/>
          <w:right w:w="10" w:type="dxa"/>
        </w:tblCellMar>
      </w:tblPr>
      <w:tblGrid>
        <w:gridCol w:w="3550"/>
        <w:gridCol w:w="1190"/>
        <w:gridCol w:w="1170"/>
        <w:gridCol w:w="1130"/>
        <w:gridCol w:w="1356"/>
        <w:gridCol w:w="1079"/>
        <w:gridCol w:w="864"/>
      </w:tblGrid>
      <w:tr>
        <w:tblPrEx>
          <w:tblLayout w:type="fixed"/>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Layout w:type="fixed"/>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15</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15</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100%</w:t>
            </w: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0.45</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0.9</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lang w:val="en-US"/>
              </w:rPr>
            </w:pPr>
            <w:r>
              <w:rPr>
                <w:rFonts w:hint="eastAsia" w:ascii="仿宋" w:eastAsia="仿宋"/>
                <w:sz w:val="24"/>
                <w:lang w:val="en-US" w:eastAsia="zh-CN"/>
              </w:rPr>
              <w:t>0.64</w:t>
            </w:r>
          </w:p>
        </w:tc>
      </w:tr>
      <w:tr>
        <w:tblPrEx>
          <w:tblLayout w:type="fixed"/>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lang w:val="en-US"/>
              </w:rPr>
            </w:pPr>
            <w:r>
              <w:rPr>
                <w:rFonts w:hint="eastAsia" w:ascii="仿宋" w:eastAsia="仿宋"/>
                <w:sz w:val="24"/>
                <w:lang w:val="en-US" w:eastAsia="zh-CN"/>
              </w:rPr>
              <w:t>0</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r>
              <w:rPr>
                <w:rFonts w:hint="eastAsia" w:ascii="仿宋" w:eastAsia="仿宋"/>
                <w:sz w:val="24"/>
              </w:rPr>
              <w:t>0</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lang w:val="en-US"/>
              </w:rPr>
            </w:pPr>
            <w:r>
              <w:rPr>
                <w:rFonts w:hint="eastAsia" w:ascii="仿宋" w:eastAsia="仿宋"/>
                <w:sz w:val="24"/>
                <w:lang w:val="en-US" w:eastAsia="zh-CN"/>
              </w:rPr>
              <w:t>0</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 xml:space="preserve">  0</w:t>
            </w:r>
            <w:r>
              <w:rPr>
                <w:rFonts w:ascii="仿宋" w:eastAsia="仿宋"/>
                <w:sz w:val="24"/>
              </w:rPr>
              <w:t>　</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0.45</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0.9</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0.64</w:t>
            </w:r>
            <w:r>
              <w:rPr>
                <w:rFonts w:ascii="仿宋" w:eastAsia="仿宋"/>
                <w:sz w:val="24"/>
              </w:rPr>
              <w:t>　</w:t>
            </w:r>
          </w:p>
        </w:tc>
      </w:tr>
      <w:tr>
        <w:tblPrEx>
          <w:tblLayout w:type="fixed"/>
          <w:tblCellMar>
            <w:top w:w="0" w:type="dxa"/>
            <w:left w:w="10" w:type="dxa"/>
            <w:bottom w:w="0" w:type="dxa"/>
            <w:right w:w="10" w:type="dxa"/>
          </w:tblCellMar>
        </w:tblPrEx>
        <w:trPr>
          <w:trHeight w:val="38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0</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Layout w:type="fixed"/>
          <w:tblCellMar>
            <w:top w:w="0" w:type="dxa"/>
            <w:left w:w="10" w:type="dxa"/>
            <w:bottom w:w="0" w:type="dxa"/>
            <w:right w:w="10" w:type="dxa"/>
          </w:tblCellMar>
        </w:tblPrEx>
        <w:trPr>
          <w:trHeight w:val="36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9.69</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16</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lang w:val="en-US"/>
              </w:rPr>
            </w:pPr>
            <w:r>
              <w:rPr>
                <w:rFonts w:hint="eastAsia" w:ascii="仿宋" w:eastAsia="仿宋"/>
                <w:sz w:val="24"/>
                <w:lang w:val="en-US" w:eastAsia="zh-CN"/>
              </w:rPr>
              <w:t>22.23</w:t>
            </w:r>
          </w:p>
        </w:tc>
      </w:tr>
      <w:tr>
        <w:tblPrEx>
          <w:tblLayout w:type="fixed"/>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lang w:val="en-US"/>
              </w:rPr>
            </w:pPr>
            <w:r>
              <w:rPr>
                <w:rFonts w:hint="eastAsia" w:ascii="仿宋" w:eastAsia="仿宋"/>
                <w:color w:val="FF0000"/>
                <w:sz w:val="24"/>
                <w:lang w:val="en-US" w:eastAsia="zh-CN"/>
              </w:rPr>
              <w:t>5.15</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FF0000"/>
                <w:sz w:val="24"/>
                <w:lang w:val="en-US" w:eastAsia="zh-CN"/>
              </w:rPr>
            </w:pPr>
            <w:r>
              <w:rPr>
                <w:rFonts w:hint="eastAsia" w:ascii="仿宋" w:eastAsia="仿宋"/>
                <w:color w:val="FF0000"/>
                <w:sz w:val="24"/>
                <w:lang w:val="en-US" w:eastAsia="zh-CN"/>
              </w:rPr>
              <w:t>0.03</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lang w:val="en-US"/>
              </w:rPr>
            </w:pPr>
            <w:r>
              <w:rPr>
                <w:rFonts w:hint="eastAsia" w:ascii="仿宋" w:eastAsia="仿宋"/>
                <w:color w:val="FF0000"/>
                <w:sz w:val="24"/>
                <w:lang w:val="en-US" w:eastAsia="zh-CN"/>
              </w:rPr>
              <w:t>2.64</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lang w:val="en-US"/>
              </w:rPr>
            </w:pPr>
            <w:r>
              <w:rPr>
                <w:rFonts w:hint="eastAsia" w:ascii="仿宋" w:eastAsia="仿宋"/>
                <w:color w:val="FF0000"/>
                <w:sz w:val="24"/>
                <w:lang w:val="en-US" w:eastAsia="zh-CN"/>
              </w:rPr>
              <w:t>1.88</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FF0000"/>
                <w:sz w:val="24"/>
                <w:lang w:eastAsia="zh-CN"/>
              </w:rPr>
            </w:pPr>
            <w:r>
              <w:rPr>
                <w:rFonts w:hint="eastAsia" w:ascii="仿宋" w:eastAsia="仿宋"/>
                <w:color w:val="FF0000"/>
                <w:sz w:val="24"/>
                <w:lang w:val="en-US" w:eastAsia="zh-CN"/>
              </w:rPr>
              <w:t>0</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0.61</w:t>
            </w:r>
            <w:r>
              <w:rPr>
                <w:rFonts w:ascii="仿宋" w:eastAsia="仿宋"/>
                <w:color w:val="FF0000"/>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0</w:t>
            </w:r>
            <w:r>
              <w:rPr>
                <w:rFonts w:ascii="仿宋" w:eastAsia="仿宋"/>
                <w:color w:val="FF0000"/>
                <w:sz w:val="24"/>
              </w:rPr>
              <w:t>　</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FF0000"/>
                <w:sz w:val="24"/>
                <w:lang w:val="en-US" w:eastAsia="zh-CN"/>
              </w:rPr>
            </w:pPr>
            <w:r>
              <w:rPr>
                <w:rFonts w:hint="eastAsia" w:ascii="仿宋" w:eastAsia="仿宋"/>
                <w:color w:val="FF0000"/>
                <w:sz w:val="24"/>
                <w:lang w:val="en-US" w:eastAsia="zh-CN"/>
              </w:rPr>
              <w:t>0</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1.98</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0</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486"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943"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3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1079"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Layout w:type="fixed"/>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35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079"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9"/>
        <w:tblW w:w="10047" w:type="dxa"/>
        <w:jc w:val="center"/>
        <w:tblInd w:w="0" w:type="dxa"/>
        <w:tblLayout w:type="fixed"/>
        <w:tblCellMar>
          <w:top w:w="0" w:type="dxa"/>
          <w:left w:w="10" w:type="dxa"/>
          <w:bottom w:w="0" w:type="dxa"/>
          <w:right w:w="10" w:type="dxa"/>
        </w:tblCellMar>
      </w:tblPr>
      <w:tblGrid>
        <w:gridCol w:w="740"/>
        <w:gridCol w:w="804"/>
        <w:gridCol w:w="1056"/>
        <w:gridCol w:w="2465"/>
        <w:gridCol w:w="4364"/>
        <w:gridCol w:w="618"/>
      </w:tblGrid>
      <w:tr>
        <w:tblPrEx>
          <w:tblLayout w:type="fixed"/>
          <w:tblCellMar>
            <w:top w:w="0" w:type="dxa"/>
            <w:left w:w="10" w:type="dxa"/>
            <w:bottom w:w="0" w:type="dxa"/>
            <w:right w:w="10" w:type="dxa"/>
          </w:tblCellMar>
        </w:tblPrEx>
        <w:trPr>
          <w:trHeight w:val="248" w:hRule="atLeast"/>
          <w:tblHeader/>
          <w:jc w:val="center"/>
        </w:trPr>
        <w:tc>
          <w:tcPr>
            <w:tcW w:w="740"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Layout w:type="fixed"/>
          <w:tblCellMar>
            <w:top w:w="0" w:type="dxa"/>
            <w:left w:w="10" w:type="dxa"/>
            <w:bottom w:w="0" w:type="dxa"/>
            <w:right w:w="10" w:type="dxa"/>
          </w:tblCellMar>
        </w:tblPrEx>
        <w:trPr>
          <w:trHeight w:val="380" w:hRule="atLeast"/>
          <w:tblHeader/>
          <w:jc w:val="center"/>
        </w:trPr>
        <w:tc>
          <w:tcPr>
            <w:tcW w:w="74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3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trHeight w:val="764"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trHeight w:val="254" w:hRule="atLeast"/>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6</w:t>
            </w:r>
          </w:p>
        </w:tc>
      </w:tr>
      <w:tr>
        <w:tblPrEx>
          <w:tblLayout w:type="fixed"/>
          <w:tblCellMar>
            <w:top w:w="0" w:type="dxa"/>
            <w:left w:w="10" w:type="dxa"/>
            <w:bottom w:w="0" w:type="dxa"/>
            <w:right w:w="10" w:type="dxa"/>
          </w:tblCellMar>
        </w:tblPrEx>
        <w:trPr>
          <w:trHeight w:val="836"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10</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trHeight w:val="463"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8</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ascii="仿宋" w:eastAsia="仿宋"/>
                <w:sz w:val="24"/>
                <w:szCs w:val="24"/>
              </w:rPr>
            </w:pPr>
            <w:r>
              <w:rPr>
                <w:rFonts w:hint="eastAsia" w:ascii="仿宋" w:eastAsia="仿宋"/>
                <w:sz w:val="24"/>
                <w:szCs w:val="24"/>
              </w:rPr>
              <w:t>10</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8</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ascii="仿宋" w:eastAsia="仿宋"/>
                <w:sz w:val="24"/>
                <w:szCs w:val="24"/>
              </w:rPr>
            </w:pPr>
            <w:r>
              <w:rPr>
                <w:rFonts w:hint="eastAsia" w:ascii="仿宋" w:eastAsia="仿宋"/>
                <w:sz w:val="24"/>
                <w:szCs w:val="24"/>
              </w:rPr>
              <w:t>9.8</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8</w:t>
            </w:r>
          </w:p>
        </w:tc>
      </w:tr>
      <w:tr>
        <w:tblPrEx>
          <w:tblLayout w:type="fixed"/>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trHeight w:val="707"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3.5</w:t>
            </w:r>
          </w:p>
        </w:tc>
      </w:tr>
      <w:tr>
        <w:tblPrEx>
          <w:tblLayout w:type="fixed"/>
          <w:tblCellMar>
            <w:top w:w="0" w:type="dxa"/>
            <w:left w:w="10" w:type="dxa"/>
            <w:bottom w:w="0" w:type="dxa"/>
            <w:right w:w="10" w:type="dxa"/>
          </w:tblCellMar>
        </w:tblPrEx>
        <w:trPr>
          <w:trHeight w:val="641"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5</w:t>
            </w:r>
          </w:p>
        </w:tc>
      </w:tr>
      <w:tr>
        <w:tblPrEx>
          <w:tblLayout w:type="fixed"/>
          <w:tblCellMar>
            <w:top w:w="0" w:type="dxa"/>
            <w:left w:w="10" w:type="dxa"/>
            <w:bottom w:w="0" w:type="dxa"/>
            <w:right w:w="10" w:type="dxa"/>
          </w:tblCellMar>
        </w:tblPrEx>
        <w:trPr>
          <w:trHeight w:val="1121" w:hRule="exac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hint="eastAsia"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3.5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p>
        </w:tc>
        <w:tc>
          <w:tcPr>
            <w:tcW w:w="618" w:type="dxa"/>
            <w:tcBorders>
              <w:left w:val="single" w:color="000000" w:sz="4" w:space="0"/>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3.5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r>
              <w:rPr>
                <w:rFonts w:hint="eastAsia"/>
              </w:rPr>
              <w:t>4</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r>
              <w:rPr>
                <w:rFonts w:hint="eastAsia"/>
              </w:rPr>
              <w:t>4</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9</w:t>
            </w:r>
          </w:p>
        </w:tc>
      </w:tr>
    </w:tbl>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r>
        <w:rPr>
          <w:rFonts w:hint="eastAsia" w:ascii="黑体" w:eastAsia="黑体"/>
        </w:rPr>
        <w:t>附件</w:t>
      </w:r>
      <w:r>
        <w:rPr>
          <w:rFonts w:ascii="黑体" w:eastAsia="黑体"/>
        </w:rPr>
        <w:t>4</w:t>
      </w:r>
    </w:p>
    <w:p>
      <w:pPr>
        <w:spacing w:line="580" w:lineRule="exact"/>
        <w:contextualSpacing/>
        <w:jc w:val="center"/>
        <w:rPr>
          <w:rFonts w:hint="eastAsia" w:ascii="方正大标宋简体" w:eastAsia="方正大标宋简体"/>
        </w:rPr>
      </w:pPr>
      <w:r>
        <w:rPr>
          <w:rFonts w:hint="eastAsia" w:ascii="方正大标宋简体" w:eastAsia="方正大标宋简体"/>
          <w:b/>
          <w:bCs/>
          <w:sz w:val="44"/>
          <w:szCs w:val="44"/>
          <w:u w:val="single"/>
        </w:rPr>
        <w:t xml:space="preserve">   2021  </w:t>
      </w:r>
      <w:r>
        <w:rPr>
          <w:rFonts w:hint="eastAsia" w:ascii="方正大标宋简体" w:eastAsia="方正大标宋简体"/>
          <w:b/>
          <w:bCs/>
          <w:sz w:val="44"/>
          <w:szCs w:val="44"/>
        </w:rPr>
        <w:t>年绩效自评报告</w:t>
      </w:r>
    </w:p>
    <w:p>
      <w:pPr>
        <w:spacing w:line="580" w:lineRule="exact"/>
        <w:contextualSpacing/>
      </w:pPr>
    </w:p>
    <w:p>
      <w:pPr>
        <w:spacing w:line="520" w:lineRule="exact"/>
        <w:ind w:firstLine="643" w:firstLineChars="200"/>
        <w:contextualSpacing/>
        <w:rPr>
          <w:rFonts w:hint="eastAsia" w:ascii="仿宋_GB2312"/>
          <w:b/>
          <w:bCs/>
        </w:rPr>
      </w:pPr>
      <w:r>
        <w:rPr>
          <w:rFonts w:hint="eastAsia" w:ascii="仿宋_GB2312"/>
          <w:b/>
          <w:bCs/>
        </w:rPr>
        <w:t>一、机构编制人员情况</w:t>
      </w:r>
    </w:p>
    <w:p>
      <w:pPr>
        <w:spacing w:line="520" w:lineRule="exact"/>
        <w:ind w:firstLine="640" w:firstLineChars="200"/>
        <w:contextualSpacing/>
        <w:rPr>
          <w:rFonts w:hint="eastAsia" w:ascii="仿宋_GB2312"/>
        </w:rPr>
      </w:pPr>
      <w:r>
        <w:rPr>
          <w:rFonts w:hint="eastAsia" w:ascii="仿宋_GB2312"/>
          <w:lang w:eastAsia="zh-CN"/>
        </w:rPr>
        <w:t>中共</w:t>
      </w:r>
      <w:r>
        <w:rPr>
          <w:rFonts w:hint="eastAsia" w:ascii="仿宋_GB2312"/>
        </w:rPr>
        <w:t>麻阳</w:t>
      </w:r>
      <w:r>
        <w:rPr>
          <w:rFonts w:hint="eastAsia" w:ascii="仿宋_GB2312"/>
          <w:lang w:eastAsia="zh-CN"/>
        </w:rPr>
        <w:t>苗族</w:t>
      </w:r>
      <w:r>
        <w:rPr>
          <w:rFonts w:hint="eastAsia" w:ascii="仿宋_GB2312"/>
        </w:rPr>
        <w:t>县</w:t>
      </w:r>
      <w:r>
        <w:rPr>
          <w:rFonts w:hint="eastAsia" w:ascii="仿宋_GB2312"/>
          <w:lang w:eastAsia="zh-CN"/>
        </w:rPr>
        <w:t>委宣传部</w:t>
      </w:r>
      <w:r>
        <w:rPr>
          <w:rFonts w:hint="eastAsia" w:ascii="仿宋_GB2312"/>
        </w:rPr>
        <w:t>内设机构</w:t>
      </w:r>
      <w:r>
        <w:rPr>
          <w:rFonts w:hint="eastAsia" w:ascii="仿宋_GB2312"/>
          <w:lang w:val="en-US" w:eastAsia="zh-CN"/>
        </w:rPr>
        <w:t>7</w:t>
      </w:r>
      <w:r>
        <w:rPr>
          <w:rFonts w:hint="eastAsia" w:ascii="仿宋_GB2312"/>
        </w:rPr>
        <w:t>个，分别为</w:t>
      </w:r>
      <w:r>
        <w:rPr>
          <w:rFonts w:hint="eastAsia" w:ascii="仿宋_GB2312"/>
          <w:lang w:eastAsia="zh-CN"/>
        </w:rPr>
        <w:t>办公室、新闻室、理论宣教研究室、</w:t>
      </w:r>
      <w:r>
        <w:rPr>
          <w:rFonts w:hint="eastAsia" w:ascii="仿宋_GB2312"/>
          <w:lang w:val="en-US" w:eastAsia="zh-CN"/>
        </w:rPr>
        <w:t>意识形态指导股、文化文艺和电影股文明创建指导股出版和版权管理股</w:t>
      </w:r>
      <w:r>
        <w:rPr>
          <w:rFonts w:hint="eastAsia" w:ascii="仿宋_GB2312"/>
        </w:rPr>
        <w:t>。县</w:t>
      </w:r>
      <w:r>
        <w:rPr>
          <w:rFonts w:hint="eastAsia" w:ascii="仿宋_GB2312"/>
          <w:lang w:eastAsia="zh-CN"/>
        </w:rPr>
        <w:t>宣传部</w:t>
      </w:r>
      <w:r>
        <w:rPr>
          <w:rFonts w:hint="eastAsia" w:ascii="仿宋_GB2312"/>
        </w:rPr>
        <w:t>总核定编制</w:t>
      </w:r>
      <w:r>
        <w:rPr>
          <w:rFonts w:hint="eastAsia" w:ascii="仿宋_GB2312"/>
          <w:lang w:val="en-US" w:eastAsia="zh-CN"/>
        </w:rPr>
        <w:t>15</w:t>
      </w:r>
      <w:r>
        <w:rPr>
          <w:rFonts w:hint="eastAsia" w:ascii="仿宋_GB2312"/>
        </w:rPr>
        <w:t>人，其中：行政编</w:t>
      </w:r>
      <w:r>
        <w:rPr>
          <w:rFonts w:hint="eastAsia" w:ascii="仿宋_GB2312"/>
          <w:lang w:val="en-US" w:eastAsia="zh-CN"/>
        </w:rPr>
        <w:t>9</w:t>
      </w:r>
      <w:r>
        <w:rPr>
          <w:rFonts w:hint="eastAsia" w:ascii="仿宋_GB2312"/>
        </w:rPr>
        <w:t>人，事业编</w:t>
      </w:r>
      <w:r>
        <w:rPr>
          <w:rFonts w:hint="eastAsia" w:ascii="仿宋_GB2312"/>
          <w:lang w:val="en-US" w:eastAsia="zh-CN"/>
        </w:rPr>
        <w:t>6</w:t>
      </w:r>
      <w:r>
        <w:rPr>
          <w:rFonts w:hint="eastAsia" w:ascii="仿宋_GB2312"/>
        </w:rPr>
        <w:t>人。现实有在职人数</w:t>
      </w:r>
      <w:r>
        <w:rPr>
          <w:rFonts w:hint="eastAsia" w:ascii="仿宋_GB2312"/>
          <w:lang w:val="en-US" w:eastAsia="zh-CN"/>
        </w:rPr>
        <w:t>15</w:t>
      </w:r>
      <w:r>
        <w:rPr>
          <w:rFonts w:hint="eastAsia" w:ascii="仿宋_GB2312"/>
        </w:rPr>
        <w:t>人、退休</w:t>
      </w:r>
      <w:r>
        <w:rPr>
          <w:rFonts w:hint="eastAsia" w:ascii="仿宋_GB2312"/>
          <w:lang w:val="en-US" w:eastAsia="zh-CN"/>
        </w:rPr>
        <w:t>2</w:t>
      </w:r>
      <w:r>
        <w:rPr>
          <w:rFonts w:hint="eastAsia" w:ascii="仿宋_GB2312"/>
        </w:rPr>
        <w:t>人。</w:t>
      </w:r>
    </w:p>
    <w:p>
      <w:pPr>
        <w:numPr>
          <w:ilvl w:val="0"/>
          <w:numId w:val="1"/>
        </w:numPr>
        <w:spacing w:line="520" w:lineRule="exact"/>
        <w:ind w:firstLine="643" w:firstLineChars="200"/>
        <w:contextualSpacing/>
        <w:rPr>
          <w:rFonts w:hint="eastAsia" w:ascii="仿宋_GB2312"/>
          <w:b/>
          <w:bCs/>
        </w:rPr>
      </w:pPr>
      <w:r>
        <w:rPr>
          <w:rFonts w:hint="eastAsia" w:ascii="仿宋_GB2312"/>
          <w:b/>
          <w:bCs/>
        </w:rPr>
        <w:t>单位主要职能与年度绩效目标</w:t>
      </w:r>
    </w:p>
    <w:p>
      <w:pPr>
        <w:numPr>
          <w:ilvl w:val="0"/>
          <w:numId w:val="2"/>
        </w:numPr>
        <w:spacing w:line="520" w:lineRule="exact"/>
        <w:contextualSpacing/>
        <w:rPr>
          <w:rFonts w:hint="eastAsia" w:ascii="仿宋_GB2312"/>
          <w:b/>
          <w:bCs/>
          <w:lang w:eastAsia="zh-CN"/>
        </w:rPr>
      </w:pPr>
      <w:r>
        <w:rPr>
          <w:rFonts w:hint="eastAsia" w:ascii="仿宋_GB2312"/>
          <w:b/>
          <w:bCs/>
          <w:lang w:eastAsia="zh-CN"/>
        </w:rPr>
        <w:t>单位主要职能</w:t>
      </w:r>
    </w:p>
    <w:p>
      <w:pPr>
        <w:pStyle w:val="7"/>
        <w:widowControl/>
        <w:spacing w:beforeAutospacing="0" w:after="150" w:afterAutospacing="0" w:line="560" w:lineRule="exact"/>
        <w:ind w:right="3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（一）开展救援、救灾的相关工作，建立红十字应急救援体系。在战争、武装冲突和自然灾害、事故灾难、公共卫生事件等突发事件中，对伤病人员和其他受害者提供紧急救援和人道救助；</w:t>
      </w:r>
    </w:p>
    <w:p>
      <w:pPr>
        <w:pStyle w:val="7"/>
        <w:widowControl/>
        <w:spacing w:beforeAutospacing="0" w:after="150" w:afterAutospacing="0" w:line="560" w:lineRule="exact"/>
        <w:ind w:right="3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（二）开展应急救护培训，普及应急救护、防灾避险和卫</w:t>
      </w:r>
    </w:p>
    <w:p>
      <w:pPr>
        <w:pStyle w:val="7"/>
        <w:widowControl/>
        <w:spacing w:beforeAutospacing="0" w:after="150" w:afterAutospacing="0" w:line="560" w:lineRule="exact"/>
        <w:ind w:left="30" w:right="30" w:firstLine="300"/>
        <w:rPr>
          <w:rFonts w:hint="eastAsia" w:ascii="宋体" w:hAnsi="宋体" w:eastAsia="宋体" w:cs="宋体"/>
          <w:color w:val="000000"/>
          <w:sz w:val="24"/>
          <w:szCs w:val="24"/>
        </w:rPr>
      </w:pPr>
      <w:r>
        <w:rPr>
          <w:rFonts w:hint="eastAsia" w:ascii="宋体" w:hAnsi="宋体" w:eastAsia="宋体" w:cs="宋体"/>
          <w:color w:val="000000"/>
          <w:sz w:val="24"/>
          <w:szCs w:val="24"/>
        </w:rPr>
        <w:t>生健康知识，组织志愿者参与现场救护；</w:t>
      </w:r>
    </w:p>
    <w:p>
      <w:pPr>
        <w:pStyle w:val="7"/>
        <w:widowControl/>
        <w:spacing w:beforeAutospacing="0" w:after="150" w:afterAutospacing="0" w:line="560" w:lineRule="exact"/>
        <w:ind w:left="30" w:right="30" w:firstLine="300"/>
        <w:rPr>
          <w:rFonts w:hint="eastAsia" w:ascii="宋体" w:hAnsi="宋体" w:eastAsia="宋体" w:cs="宋体"/>
          <w:color w:val="000000"/>
          <w:sz w:val="24"/>
          <w:szCs w:val="24"/>
        </w:rPr>
      </w:pPr>
      <w:r>
        <w:rPr>
          <w:rFonts w:hint="eastAsia" w:ascii="宋体" w:hAnsi="宋体" w:eastAsia="宋体" w:cs="宋体"/>
          <w:color w:val="000000"/>
          <w:sz w:val="24"/>
          <w:szCs w:val="24"/>
        </w:rPr>
        <w:t>（三）参与、推动无偿献血、遗体和人体器官捐献工作，参与开展造血干细胞捐献的相关工作；</w:t>
      </w:r>
    </w:p>
    <w:p>
      <w:pPr>
        <w:pStyle w:val="7"/>
        <w:widowControl/>
        <w:spacing w:beforeAutospacing="0" w:after="150" w:afterAutospacing="0" w:line="560" w:lineRule="exact"/>
        <w:ind w:left="30" w:right="30" w:firstLine="300"/>
        <w:rPr>
          <w:rFonts w:hint="eastAsia" w:ascii="宋体" w:hAnsi="宋体" w:eastAsia="宋体" w:cs="宋体"/>
          <w:color w:val="000000"/>
          <w:sz w:val="24"/>
          <w:szCs w:val="24"/>
        </w:rPr>
      </w:pPr>
      <w:r>
        <w:rPr>
          <w:rFonts w:hint="eastAsia" w:ascii="宋体" w:hAnsi="宋体" w:eastAsia="宋体" w:cs="宋体"/>
          <w:color w:val="000000"/>
          <w:sz w:val="24"/>
          <w:szCs w:val="24"/>
        </w:rPr>
        <w:t>（四）组织开展红十字志愿服务、红十字青少年工作；</w:t>
      </w:r>
    </w:p>
    <w:p>
      <w:pPr>
        <w:pStyle w:val="7"/>
        <w:widowControl/>
        <w:spacing w:beforeAutospacing="0" w:after="150" w:afterAutospacing="0" w:line="560" w:lineRule="exact"/>
        <w:ind w:left="30" w:right="30" w:firstLine="300"/>
        <w:rPr>
          <w:rFonts w:hint="eastAsia" w:ascii="宋体" w:hAnsi="宋体" w:eastAsia="宋体" w:cs="宋体"/>
          <w:color w:val="000000"/>
          <w:sz w:val="24"/>
          <w:szCs w:val="24"/>
        </w:rPr>
      </w:pPr>
      <w:r>
        <w:rPr>
          <w:rFonts w:hint="eastAsia" w:ascii="宋体" w:hAnsi="宋体" w:eastAsia="宋体" w:cs="宋体"/>
          <w:color w:val="000000"/>
          <w:sz w:val="24"/>
          <w:szCs w:val="24"/>
        </w:rPr>
        <w:t>（五）参加国际人道主义救援工作；</w:t>
      </w:r>
    </w:p>
    <w:p>
      <w:pPr>
        <w:pStyle w:val="7"/>
        <w:widowControl/>
        <w:spacing w:beforeAutospacing="0" w:after="150" w:afterAutospacing="0" w:line="560" w:lineRule="exact"/>
        <w:ind w:left="30" w:right="30" w:firstLine="300"/>
        <w:rPr>
          <w:rFonts w:hint="eastAsia" w:ascii="宋体" w:hAnsi="宋体" w:eastAsia="宋体" w:cs="宋体"/>
          <w:color w:val="000000"/>
          <w:sz w:val="24"/>
          <w:szCs w:val="24"/>
        </w:rPr>
      </w:pPr>
      <w:r>
        <w:rPr>
          <w:rFonts w:hint="eastAsia" w:ascii="宋体" w:hAnsi="宋体" w:eastAsia="宋体" w:cs="宋体"/>
          <w:color w:val="000000"/>
          <w:sz w:val="24"/>
          <w:szCs w:val="24"/>
        </w:rPr>
        <w:t>（六）宣传国际红十字和红新月运动的基本原则和日内瓦公约及其附加议定书；</w:t>
      </w:r>
    </w:p>
    <w:p>
      <w:pPr>
        <w:pStyle w:val="7"/>
        <w:widowControl/>
        <w:spacing w:beforeAutospacing="0" w:after="150" w:afterAutospacing="0" w:line="560" w:lineRule="exact"/>
        <w:ind w:left="30" w:right="30" w:firstLine="300"/>
        <w:rPr>
          <w:rFonts w:hint="eastAsia" w:ascii="宋体" w:hAnsi="宋体" w:eastAsia="宋体" w:cs="宋体"/>
          <w:color w:val="000000"/>
          <w:sz w:val="24"/>
          <w:szCs w:val="24"/>
        </w:rPr>
      </w:pPr>
      <w:r>
        <w:rPr>
          <w:rFonts w:hint="eastAsia" w:ascii="宋体" w:hAnsi="宋体" w:eastAsia="宋体" w:cs="宋体"/>
          <w:color w:val="000000"/>
          <w:sz w:val="24"/>
          <w:szCs w:val="24"/>
        </w:rPr>
        <w:t>（七）依照国际红十字和红新月运动的基本原则，完成人民政府委托事宜；</w:t>
      </w:r>
    </w:p>
    <w:p>
      <w:pPr>
        <w:pStyle w:val="7"/>
        <w:widowControl/>
        <w:spacing w:beforeAutospacing="0" w:after="150" w:afterAutospacing="0" w:line="560" w:lineRule="exact"/>
        <w:ind w:left="30" w:right="30" w:firstLine="300"/>
        <w:rPr>
          <w:rFonts w:hint="eastAsia" w:ascii="宋体" w:hAnsi="宋体" w:eastAsia="宋体" w:cs="宋体"/>
          <w:color w:val="000000"/>
          <w:sz w:val="24"/>
          <w:szCs w:val="24"/>
        </w:rPr>
      </w:pPr>
      <w:r>
        <w:rPr>
          <w:rFonts w:hint="eastAsia" w:ascii="宋体" w:hAnsi="宋体" w:eastAsia="宋体" w:cs="宋体"/>
          <w:color w:val="000000"/>
          <w:sz w:val="24"/>
          <w:szCs w:val="24"/>
        </w:rPr>
        <w:t>（八）依照日内瓦公约及其附加议定书的有关规定开展工作；</w:t>
      </w:r>
    </w:p>
    <w:p>
      <w:pPr>
        <w:pStyle w:val="7"/>
        <w:widowControl/>
        <w:spacing w:beforeAutospacing="0" w:after="150" w:afterAutospacing="0" w:line="560" w:lineRule="exact"/>
        <w:ind w:left="30" w:right="30" w:firstLine="300"/>
        <w:rPr>
          <w:rFonts w:hint="eastAsia" w:ascii="宋体" w:hAnsi="宋体" w:eastAsia="宋体" w:cs="宋体"/>
          <w:color w:val="000000"/>
          <w:sz w:val="24"/>
          <w:szCs w:val="24"/>
        </w:rPr>
      </w:pPr>
      <w:r>
        <w:rPr>
          <w:rFonts w:hint="eastAsia" w:ascii="宋体" w:hAnsi="宋体" w:eastAsia="宋体" w:cs="宋体"/>
          <w:color w:val="000000"/>
          <w:sz w:val="24"/>
          <w:szCs w:val="24"/>
        </w:rPr>
        <w:t>（九）协助人民政府开展与其职责相关的其他人道主义服务活动。</w:t>
      </w:r>
    </w:p>
    <w:p>
      <w:pPr>
        <w:keepNext w:val="0"/>
        <w:keepLines w:val="0"/>
        <w:pageBreakBefore w:val="0"/>
        <w:widowControl/>
        <w:kinsoku/>
        <w:wordWrap/>
        <w:overflowPunct/>
        <w:topLinePunct w:val="0"/>
        <w:bidi w:val="0"/>
        <w:snapToGrid/>
        <w:spacing w:before="157" w:beforeLines="50" w:after="157" w:afterLines="50" w:line="46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 县红十字会监事会履行对理事会、执委会的监督职责。</w:t>
      </w:r>
    </w:p>
    <w:p>
      <w:pPr>
        <w:spacing w:line="520" w:lineRule="exact"/>
        <w:contextualSpacing/>
        <w:rPr>
          <w:rFonts w:hint="eastAsia" w:ascii="仿宋_GB2312"/>
        </w:rPr>
      </w:pPr>
      <w:r>
        <w:rPr>
          <w:rFonts w:hint="eastAsia" w:ascii="仿宋_GB2312"/>
        </w:rPr>
        <w:t>（二）年度绩效目标</w:t>
      </w:r>
      <w:r>
        <w:rPr>
          <w:rFonts w:hint="eastAsia" w:ascii="仿宋_GB2312"/>
        </w:rPr>
        <w:tab/>
      </w:r>
    </w:p>
    <w:p>
      <w:pPr>
        <w:spacing w:line="520" w:lineRule="exact"/>
        <w:ind w:firstLine="640" w:firstLineChars="200"/>
        <w:contextualSpacing/>
        <w:rPr>
          <w:rFonts w:hint="eastAsia" w:ascii="仿宋_GB2312"/>
          <w:lang w:val="en-US" w:eastAsia="zh-CN"/>
        </w:rPr>
      </w:pPr>
      <w:r>
        <w:rPr>
          <w:rFonts w:hint="eastAsia" w:ascii="仿宋_GB2312"/>
        </w:rPr>
        <w:t>1、</w:t>
      </w:r>
      <w:r>
        <w:rPr>
          <w:rFonts w:hint="eastAsia" w:ascii="仿宋_GB2312"/>
          <w:lang w:eastAsia="zh-CN"/>
        </w:rPr>
        <w:t>完成年初预算确定的绩效目标</w:t>
      </w:r>
      <w:r>
        <w:rPr>
          <w:rFonts w:hint="eastAsia" w:ascii="仿宋_GB2312"/>
          <w:lang w:val="en-US" w:eastAsia="zh-CN"/>
        </w:rPr>
        <w:t>.</w:t>
      </w:r>
    </w:p>
    <w:p>
      <w:pPr>
        <w:spacing w:line="520" w:lineRule="exact"/>
        <w:ind w:firstLine="640" w:firstLineChars="200"/>
        <w:contextualSpacing/>
        <w:rPr>
          <w:rFonts w:hint="eastAsia" w:ascii="仿宋_GB2312" w:eastAsia="仿宋_GB2312"/>
          <w:lang w:val="en-US" w:eastAsia="zh-CN"/>
        </w:rPr>
      </w:pPr>
      <w:r>
        <w:rPr>
          <w:rFonts w:hint="eastAsia" w:ascii="仿宋_GB2312"/>
          <w:lang w:val="en-US" w:eastAsia="zh-CN"/>
        </w:rPr>
        <w:t>2、完成上级政府部门交办的年度工作任务</w:t>
      </w:r>
    </w:p>
    <w:p>
      <w:pPr>
        <w:spacing w:line="520" w:lineRule="exact"/>
        <w:ind w:firstLine="640" w:firstLineChars="200"/>
        <w:contextualSpacing/>
        <w:rPr>
          <w:rFonts w:hint="eastAsia" w:ascii="仿宋_GB2312"/>
        </w:rPr>
      </w:pPr>
      <w:r>
        <w:rPr>
          <w:rFonts w:hint="eastAsia" w:ascii="仿宋_GB2312"/>
          <w:lang w:val="en-US" w:eastAsia="zh-CN"/>
        </w:rPr>
        <w:t>3</w:t>
      </w:r>
      <w:r>
        <w:rPr>
          <w:rFonts w:hint="eastAsia" w:ascii="仿宋_GB2312"/>
        </w:rPr>
        <w:t>、严格执行国家财务制度和财经纪律，合理开支、厉行节约。</w:t>
      </w:r>
    </w:p>
    <w:p>
      <w:pPr>
        <w:spacing w:line="520" w:lineRule="exact"/>
        <w:ind w:firstLine="640" w:firstLineChars="200"/>
        <w:contextualSpacing/>
        <w:rPr>
          <w:rFonts w:hint="eastAsia" w:ascii="仿宋_GB2312"/>
        </w:rPr>
      </w:pPr>
      <w:r>
        <w:rPr>
          <w:rFonts w:hint="eastAsia" w:ascii="仿宋_GB2312"/>
          <w:lang w:val="en-US" w:eastAsia="zh-CN"/>
        </w:rPr>
        <w:t>4</w:t>
      </w:r>
      <w:r>
        <w:rPr>
          <w:rFonts w:hint="eastAsia" w:ascii="仿宋_GB2312"/>
        </w:rPr>
        <w:t>、严控“三公”经费和行政运行费用开支，确保呈逐年下降趋势。</w:t>
      </w:r>
    </w:p>
    <w:p>
      <w:pPr>
        <w:spacing w:line="520" w:lineRule="exact"/>
        <w:contextualSpacing/>
        <w:rPr>
          <w:rFonts w:hint="eastAsia" w:ascii="仿宋_GB2312"/>
          <w:b/>
          <w:bCs/>
        </w:rPr>
      </w:pPr>
      <w:r>
        <w:rPr>
          <w:rFonts w:hint="eastAsia" w:ascii="仿宋_GB2312"/>
          <w:b/>
          <w:bCs/>
        </w:rPr>
        <w:t>三、年度整体支出及管理情况</w:t>
      </w:r>
    </w:p>
    <w:p>
      <w:pPr>
        <w:numPr>
          <w:ilvl w:val="0"/>
          <w:numId w:val="0"/>
        </w:numPr>
        <w:spacing w:line="560" w:lineRule="exact"/>
        <w:ind w:firstLine="320" w:firstLineChars="100"/>
        <w:jc w:val="both"/>
        <w:rPr>
          <w:rFonts w:hint="eastAsia" w:ascii="仿宋_GB2312" w:cs="Arial"/>
          <w:kern w:val="2"/>
          <w:sz w:val="32"/>
        </w:rPr>
      </w:pPr>
      <w:r>
        <w:rPr>
          <w:rFonts w:hint="eastAsia" w:ascii="仿宋_GB2312" w:cs="Arial"/>
          <w:kern w:val="2"/>
          <w:sz w:val="32"/>
        </w:rPr>
        <w:t>202</w:t>
      </w:r>
      <w:r>
        <w:rPr>
          <w:rFonts w:hint="eastAsia" w:ascii="仿宋_GB2312" w:cs="Arial"/>
          <w:kern w:val="2"/>
          <w:sz w:val="32"/>
          <w:lang w:val="en-US" w:eastAsia="zh-CN"/>
        </w:rPr>
        <w:t>1</w:t>
      </w:r>
      <w:r>
        <w:rPr>
          <w:rFonts w:hint="eastAsia" w:ascii="仿宋_GB2312" w:cs="Arial"/>
          <w:kern w:val="2"/>
          <w:sz w:val="32"/>
        </w:rPr>
        <w:t>年预算总收入</w:t>
      </w:r>
      <w:r>
        <w:rPr>
          <w:rFonts w:hint="eastAsia" w:ascii="仿宋_GB2312" w:cs="Arial"/>
          <w:kern w:val="2"/>
          <w:sz w:val="32"/>
          <w:lang w:val="en-US" w:eastAsia="zh-CN"/>
        </w:rPr>
        <w:t>127.65</w:t>
      </w:r>
      <w:r>
        <w:rPr>
          <w:rFonts w:hint="eastAsia" w:ascii="仿宋_GB2312" w:cs="Arial"/>
          <w:kern w:val="2"/>
          <w:sz w:val="32"/>
        </w:rPr>
        <w:t>万元，（其中：年初预算安排</w:t>
      </w:r>
      <w:r>
        <w:rPr>
          <w:rFonts w:hint="eastAsia" w:ascii="仿宋_GB2312" w:cs="Arial"/>
          <w:kern w:val="2"/>
          <w:sz w:val="32"/>
          <w:lang w:val="en-US" w:eastAsia="zh-CN"/>
        </w:rPr>
        <w:t>113.34</w:t>
      </w:r>
      <w:r>
        <w:rPr>
          <w:rFonts w:hint="eastAsia" w:ascii="仿宋_GB2312" w:cs="Arial"/>
          <w:kern w:val="2"/>
          <w:sz w:val="32"/>
        </w:rPr>
        <w:t>万元</w:t>
      </w:r>
      <w:r>
        <w:rPr>
          <w:rFonts w:hint="eastAsia" w:ascii="仿宋_GB2312" w:cs="Arial"/>
          <w:kern w:val="2"/>
          <w:sz w:val="32"/>
          <w:lang w:eastAsia="zh-CN"/>
        </w:rPr>
        <w:t>，上年结余</w:t>
      </w:r>
      <w:r>
        <w:rPr>
          <w:rFonts w:hint="eastAsia" w:ascii="仿宋_GB2312" w:cs="Arial"/>
          <w:kern w:val="2"/>
          <w:sz w:val="32"/>
          <w:lang w:val="en-US" w:eastAsia="zh-CN"/>
        </w:rPr>
        <w:t>14.31万元</w:t>
      </w:r>
      <w:r>
        <w:rPr>
          <w:rFonts w:hint="eastAsia" w:ascii="仿宋_GB2312" w:cs="Arial"/>
          <w:kern w:val="2"/>
          <w:sz w:val="32"/>
        </w:rPr>
        <w:t>。）</w:t>
      </w:r>
      <w:r>
        <w:rPr>
          <w:rFonts w:hint="eastAsia" w:ascii="仿宋_GB2312" w:cs="Arial"/>
          <w:kern w:val="2"/>
          <w:sz w:val="32"/>
          <w:lang w:eastAsia="zh-CN"/>
        </w:rPr>
        <w:t>预算</w:t>
      </w:r>
      <w:r>
        <w:rPr>
          <w:rFonts w:hint="eastAsia" w:ascii="仿宋_GB2312" w:cs="Arial"/>
          <w:kern w:val="2"/>
          <w:sz w:val="32"/>
        </w:rPr>
        <w:t>总支出</w:t>
      </w:r>
      <w:r>
        <w:rPr>
          <w:rFonts w:hint="eastAsia" w:ascii="仿宋_GB2312" w:cs="Arial"/>
          <w:kern w:val="2"/>
          <w:sz w:val="32"/>
          <w:lang w:val="en-US" w:eastAsia="zh-CN"/>
        </w:rPr>
        <w:t>127.65</w:t>
      </w:r>
      <w:r>
        <w:rPr>
          <w:rFonts w:hint="eastAsia" w:ascii="仿宋_GB2312" w:cs="Arial"/>
          <w:kern w:val="2"/>
          <w:sz w:val="32"/>
        </w:rPr>
        <w:t>万元，其中基本支出</w:t>
      </w:r>
      <w:r>
        <w:rPr>
          <w:rFonts w:hint="eastAsia" w:ascii="仿宋_GB2312" w:cs="Arial"/>
          <w:kern w:val="2"/>
          <w:sz w:val="32"/>
          <w:lang w:val="en-US" w:eastAsia="zh-CN"/>
        </w:rPr>
        <w:t>127.65</w:t>
      </w:r>
      <w:r>
        <w:rPr>
          <w:rFonts w:hint="eastAsia" w:ascii="仿宋_GB2312" w:cs="Arial"/>
          <w:kern w:val="2"/>
          <w:sz w:val="32"/>
        </w:rPr>
        <w:t>万元，占全年总支出的</w:t>
      </w:r>
      <w:r>
        <w:rPr>
          <w:rFonts w:hint="eastAsia" w:ascii="仿宋_GB2312" w:cs="Arial"/>
          <w:kern w:val="2"/>
          <w:sz w:val="32"/>
          <w:lang w:val="en-US" w:eastAsia="zh-CN"/>
        </w:rPr>
        <w:t>100</w:t>
      </w:r>
      <w:r>
        <w:rPr>
          <w:rFonts w:hint="eastAsia" w:ascii="仿宋_GB2312" w:cs="Arial"/>
          <w:kern w:val="2"/>
          <w:sz w:val="32"/>
        </w:rPr>
        <w:t>%；项目支出</w:t>
      </w:r>
      <w:r>
        <w:rPr>
          <w:rFonts w:hint="eastAsia" w:ascii="仿宋_GB2312" w:cs="Arial"/>
          <w:kern w:val="2"/>
          <w:sz w:val="32"/>
          <w:lang w:val="en-US" w:eastAsia="zh-CN"/>
        </w:rPr>
        <w:t>0万元</w:t>
      </w:r>
      <w:r>
        <w:rPr>
          <w:rFonts w:hint="eastAsia" w:ascii="仿宋_GB2312" w:cs="Arial"/>
          <w:kern w:val="2"/>
          <w:sz w:val="32"/>
        </w:rPr>
        <w:t>，占全年总支出的</w:t>
      </w:r>
      <w:r>
        <w:rPr>
          <w:rFonts w:hint="eastAsia" w:ascii="仿宋_GB2312" w:cs="Arial"/>
          <w:kern w:val="2"/>
          <w:sz w:val="32"/>
          <w:lang w:val="en-US" w:eastAsia="zh-CN"/>
        </w:rPr>
        <w:t>0</w:t>
      </w:r>
      <w:r>
        <w:rPr>
          <w:rFonts w:hint="eastAsia" w:ascii="仿宋_GB2312" w:cs="Arial"/>
          <w:kern w:val="2"/>
          <w:sz w:val="32"/>
        </w:rPr>
        <w:t>%。</w:t>
      </w:r>
    </w:p>
    <w:p>
      <w:pPr>
        <w:numPr>
          <w:ilvl w:val="0"/>
          <w:numId w:val="3"/>
        </w:numPr>
        <w:spacing w:line="560" w:lineRule="exac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、基本支出情况</w:t>
      </w:r>
    </w:p>
    <w:p>
      <w:pPr>
        <w:numPr>
          <w:ilvl w:val="0"/>
          <w:numId w:val="0"/>
        </w:num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年我办基本支出为</w:t>
      </w:r>
      <w:r>
        <w:rPr>
          <w:rFonts w:hint="eastAsia" w:ascii="仿宋" w:hAnsi="仿宋" w:eastAsia="仿宋" w:cs="仿宋"/>
          <w:sz w:val="32"/>
          <w:szCs w:val="32"/>
          <w:lang w:val="en-US" w:eastAsia="zh-CN"/>
        </w:rPr>
        <w:t>127.65</w:t>
      </w:r>
      <w:r>
        <w:rPr>
          <w:rFonts w:hint="eastAsia" w:ascii="仿宋" w:hAnsi="仿宋" w:eastAsia="仿宋" w:cs="仿宋"/>
          <w:sz w:val="32"/>
          <w:szCs w:val="32"/>
        </w:rPr>
        <w:t>万元，其中：1、人员经费</w:t>
      </w:r>
      <w:r>
        <w:rPr>
          <w:rFonts w:hint="eastAsia" w:ascii="仿宋" w:hAnsi="仿宋" w:eastAsia="仿宋" w:cs="仿宋"/>
          <w:sz w:val="32"/>
          <w:szCs w:val="32"/>
          <w:lang w:val="en-US" w:eastAsia="zh-CN"/>
        </w:rPr>
        <w:t>111.65</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87.47</w:t>
      </w:r>
      <w:r>
        <w:rPr>
          <w:rFonts w:hint="eastAsia" w:ascii="仿宋" w:hAnsi="仿宋" w:eastAsia="仿宋" w:cs="仿宋"/>
          <w:sz w:val="32"/>
          <w:szCs w:val="32"/>
        </w:rPr>
        <w:t>%，主要包括了根据国家规定安排的工资福利支出及对个人和家庭的补助等人员经费支出。其中：工资福利支出</w:t>
      </w:r>
      <w:r>
        <w:rPr>
          <w:rFonts w:hint="eastAsia" w:ascii="仿宋" w:hAnsi="仿宋" w:eastAsia="仿宋" w:cs="仿宋"/>
          <w:sz w:val="32"/>
          <w:szCs w:val="32"/>
          <w:lang w:val="en-US" w:eastAsia="zh-CN"/>
        </w:rPr>
        <w:t>111.35</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0.3</w:t>
      </w:r>
      <w:r>
        <w:rPr>
          <w:rFonts w:hint="eastAsia" w:ascii="仿宋" w:hAnsi="仿宋" w:eastAsia="仿宋" w:cs="仿宋"/>
          <w:sz w:val="32"/>
          <w:szCs w:val="32"/>
        </w:rPr>
        <w:t>万元。2、公用经费</w:t>
      </w:r>
      <w:r>
        <w:rPr>
          <w:rFonts w:hint="eastAsia" w:ascii="仿宋" w:hAnsi="仿宋" w:eastAsia="仿宋" w:cs="仿宋"/>
          <w:sz w:val="32"/>
          <w:szCs w:val="32"/>
          <w:lang w:val="en-US" w:eastAsia="zh-CN"/>
        </w:rPr>
        <w:t>16</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12.53</w:t>
      </w:r>
      <w:r>
        <w:rPr>
          <w:rFonts w:hint="eastAsia" w:ascii="仿宋" w:hAnsi="仿宋" w:eastAsia="仿宋" w:cs="仿宋"/>
          <w:sz w:val="32"/>
          <w:szCs w:val="32"/>
        </w:rPr>
        <w:t>%，主要包括</w:t>
      </w:r>
      <w:r>
        <w:rPr>
          <w:rFonts w:hint="eastAsia" w:ascii="仿宋" w:hAnsi="仿宋" w:eastAsia="仿宋" w:cs="仿宋"/>
          <w:color w:val="000000"/>
          <w:sz w:val="32"/>
          <w:szCs w:val="32"/>
        </w:rPr>
        <w:t>按国家规定的开支标准安排的办公费、印刷费、邮电</w:t>
      </w:r>
      <w:r>
        <w:rPr>
          <w:rFonts w:hint="eastAsia" w:ascii="仿宋" w:hAnsi="仿宋" w:eastAsia="仿宋" w:cs="仿宋"/>
          <w:color w:val="000000"/>
          <w:sz w:val="32"/>
          <w:szCs w:val="32"/>
          <w:lang w:eastAsia="zh-CN"/>
        </w:rPr>
        <w:t>费</w:t>
      </w:r>
      <w:r>
        <w:rPr>
          <w:rFonts w:hint="eastAsia" w:ascii="仿宋" w:hAnsi="仿宋" w:eastAsia="仿宋" w:cs="仿宋"/>
          <w:color w:val="000000"/>
          <w:sz w:val="32"/>
          <w:szCs w:val="32"/>
        </w:rPr>
        <w:t>、差旅费、会议费、</w:t>
      </w:r>
      <w:r>
        <w:rPr>
          <w:rFonts w:hint="eastAsia" w:ascii="仿宋" w:hAnsi="仿宋" w:eastAsia="仿宋" w:cs="仿宋"/>
          <w:color w:val="000000"/>
          <w:sz w:val="32"/>
          <w:szCs w:val="32"/>
          <w:lang w:eastAsia="zh-CN"/>
        </w:rPr>
        <w:t>租赁费、</w:t>
      </w:r>
      <w:r>
        <w:rPr>
          <w:rFonts w:hint="eastAsia" w:ascii="仿宋" w:hAnsi="仿宋" w:eastAsia="仿宋" w:cs="仿宋"/>
          <w:color w:val="000000"/>
          <w:sz w:val="32"/>
          <w:szCs w:val="32"/>
        </w:rPr>
        <w:t>工会经费、日常维修费、</w:t>
      </w:r>
      <w:r>
        <w:rPr>
          <w:rFonts w:hint="eastAsia" w:ascii="仿宋" w:hAnsi="仿宋" w:eastAsia="仿宋" w:cs="仿宋"/>
          <w:color w:val="000000"/>
          <w:sz w:val="32"/>
          <w:szCs w:val="32"/>
          <w:lang w:eastAsia="zh-CN"/>
        </w:rPr>
        <w:t>劳务费</w:t>
      </w:r>
      <w:r>
        <w:rPr>
          <w:rFonts w:hint="eastAsia" w:ascii="仿宋" w:hAnsi="仿宋" w:eastAsia="仿宋" w:cs="仿宋"/>
          <w:color w:val="000000"/>
          <w:sz w:val="32"/>
          <w:szCs w:val="32"/>
        </w:rPr>
        <w:t>及一般设备购置费、办公用房水电费、办公用房物业管理费、公务用车运行维护费以及其他费用。</w:t>
      </w:r>
    </w:p>
    <w:p>
      <w:pPr>
        <w:widowControl/>
        <w:shd w:val="clear" w:color="000000" w:fill="FFFFFF"/>
        <w:spacing w:before="156" w:after="156" w:line="460" w:lineRule="exact"/>
        <w:jc w:val="left"/>
        <w:rPr>
          <w:rFonts w:hint="eastAsia" w:ascii="仿宋" w:hAnsi="仿宋" w:eastAsia="仿宋" w:cs="仿宋"/>
          <w:sz w:val="32"/>
          <w:szCs w:val="32"/>
        </w:rPr>
      </w:pPr>
      <w:r>
        <w:rPr>
          <w:rFonts w:hint="eastAsia" w:ascii="仿宋" w:hAnsi="仿宋" w:eastAsia="仿宋" w:cs="仿宋"/>
          <w:sz w:val="32"/>
          <w:szCs w:val="32"/>
        </w:rPr>
        <w:t>（二）、“三公”经费支出情况</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“三公”经费年初预算</w:t>
      </w:r>
      <w:r>
        <w:rPr>
          <w:rFonts w:hint="eastAsia" w:ascii="仿宋" w:hAnsi="仿宋" w:eastAsia="仿宋" w:cs="仿宋"/>
          <w:sz w:val="32"/>
          <w:szCs w:val="32"/>
          <w:lang w:val="en-US" w:eastAsia="zh-CN"/>
        </w:rPr>
        <w:t>0.9</w:t>
      </w:r>
      <w:r>
        <w:rPr>
          <w:rFonts w:hint="eastAsia" w:ascii="仿宋" w:hAnsi="仿宋" w:eastAsia="仿宋" w:cs="仿宋"/>
          <w:sz w:val="32"/>
          <w:szCs w:val="32"/>
        </w:rPr>
        <w:t>万元，其中公务接待费</w:t>
      </w:r>
      <w:r>
        <w:rPr>
          <w:rFonts w:hint="eastAsia" w:ascii="仿宋" w:hAnsi="仿宋" w:eastAsia="仿宋" w:cs="仿宋"/>
          <w:sz w:val="32"/>
          <w:szCs w:val="32"/>
          <w:lang w:val="en-US" w:eastAsia="zh-CN"/>
        </w:rPr>
        <w:t>0.9</w:t>
      </w:r>
      <w:r>
        <w:rPr>
          <w:rFonts w:hint="eastAsia" w:ascii="仿宋" w:hAnsi="仿宋" w:eastAsia="仿宋" w:cs="仿宋"/>
          <w:sz w:val="32"/>
          <w:szCs w:val="32"/>
        </w:rPr>
        <w:t>万元，公务用车运行费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万元，因公出国（境）费0万元。实际“三公”经费支出</w:t>
      </w:r>
      <w:r>
        <w:rPr>
          <w:rFonts w:hint="eastAsia" w:ascii="仿宋" w:hAnsi="仿宋" w:eastAsia="仿宋" w:cs="仿宋"/>
          <w:sz w:val="32"/>
          <w:szCs w:val="32"/>
          <w:lang w:val="en-US" w:eastAsia="zh-CN"/>
        </w:rPr>
        <w:t>0.64</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71.11</w:t>
      </w:r>
      <w:r>
        <w:rPr>
          <w:rFonts w:hint="eastAsia" w:ascii="仿宋" w:hAnsi="仿宋" w:eastAsia="仿宋" w:cs="仿宋"/>
          <w:sz w:val="32"/>
          <w:szCs w:val="32"/>
        </w:rPr>
        <w:t>%，其中公务接待费</w:t>
      </w:r>
      <w:r>
        <w:rPr>
          <w:rFonts w:hint="eastAsia" w:ascii="仿宋" w:hAnsi="仿宋" w:eastAsia="仿宋" w:cs="仿宋"/>
          <w:sz w:val="32"/>
          <w:szCs w:val="32"/>
          <w:lang w:val="en-US" w:eastAsia="zh-CN"/>
        </w:rPr>
        <w:t>0.64</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71.11</w:t>
      </w:r>
      <w:r>
        <w:rPr>
          <w:rFonts w:hint="eastAsia" w:ascii="仿宋" w:hAnsi="仿宋" w:eastAsia="仿宋" w:cs="仿宋"/>
          <w:sz w:val="32"/>
          <w:szCs w:val="32"/>
        </w:rPr>
        <w:t>%,公务用车运行费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%，因公出国（境）费0万元。“三公”经费结余</w:t>
      </w:r>
      <w:r>
        <w:rPr>
          <w:rFonts w:hint="eastAsia" w:ascii="仿宋" w:hAnsi="仿宋" w:eastAsia="仿宋" w:cs="仿宋"/>
          <w:sz w:val="32"/>
          <w:szCs w:val="32"/>
          <w:lang w:val="en-US" w:eastAsia="zh-CN"/>
        </w:rPr>
        <w:t>0.26</w:t>
      </w:r>
      <w:r>
        <w:rPr>
          <w:rFonts w:hint="eastAsia" w:ascii="仿宋" w:hAnsi="仿宋" w:eastAsia="仿宋" w:cs="仿宋"/>
          <w:sz w:val="32"/>
          <w:szCs w:val="32"/>
        </w:rPr>
        <w:t>万元，结余率</w:t>
      </w:r>
      <w:r>
        <w:rPr>
          <w:rFonts w:hint="eastAsia" w:ascii="仿宋" w:hAnsi="仿宋" w:eastAsia="仿宋" w:cs="仿宋"/>
          <w:sz w:val="32"/>
          <w:szCs w:val="32"/>
          <w:lang w:val="en-US" w:eastAsia="zh-CN"/>
        </w:rPr>
        <w:t>28.89</w:t>
      </w:r>
      <w:r>
        <w:rPr>
          <w:rFonts w:hint="eastAsia" w:ascii="仿宋" w:hAnsi="仿宋" w:eastAsia="仿宋" w:cs="仿宋"/>
          <w:sz w:val="32"/>
          <w:szCs w:val="32"/>
        </w:rPr>
        <w:t>%。</w:t>
      </w:r>
      <w:r>
        <w:rPr>
          <w:rFonts w:hint="eastAsia" w:ascii="仿宋" w:hAnsi="仿宋" w:eastAsia="仿宋" w:cs="仿宋"/>
          <w:sz w:val="32"/>
          <w:szCs w:val="32"/>
          <w:lang w:eastAsia="zh-CN"/>
        </w:rPr>
        <w:t>原因为财政资金调度不及时，当年支出未结清。</w:t>
      </w:r>
    </w:p>
    <w:p>
      <w:pPr>
        <w:ind w:firstLine="640"/>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（三）、资金管理情况</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1）、积极建立健全了财务管理和约束机制，制定了各项规章制度，如内部财务管理制度、公务接待管理办法及资产管理制度等；</w:t>
      </w:r>
      <w:bookmarkStart w:id="0" w:name="_GoBack"/>
      <w:bookmarkEnd w:id="0"/>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lang w:val="en-US" w:eastAsia="zh-CN"/>
        </w:rPr>
        <w:t>2</w:t>
      </w:r>
      <w:r>
        <w:rPr>
          <w:rFonts w:hint="eastAsia" w:ascii="仿宋_GB2312" w:hAnsi="仿宋_GB2312" w:cs="仿宋_GB2312"/>
          <w:color w:val="000000"/>
        </w:rPr>
        <w:t>）、强化了制度执行，切实做好了厉行节约工作，全面落实各项管理制度要求，严控了“三公经费”，努力降低了行政成本，切实做到了细、严、实。</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四、整体支出绩效目标完成情况</w:t>
      </w:r>
    </w:p>
    <w:p>
      <w:pPr>
        <w:spacing w:line="580" w:lineRule="exact"/>
        <w:contextualSpacing/>
        <w:rPr>
          <w:rFonts w:hint="eastAsia" w:ascii="仿宋_GB2312" w:hAnsi="仿宋_GB2312" w:eastAsia="仿宋_GB2312" w:cs="仿宋_GB2312"/>
          <w:color w:val="000000"/>
          <w:lang w:eastAsia="zh-CN"/>
        </w:rPr>
      </w:pPr>
      <w:r>
        <w:rPr>
          <w:rFonts w:hint="eastAsia" w:ascii="仿宋_GB2312" w:hAnsi="仿宋_GB2312" w:cs="仿宋_GB2312"/>
          <w:color w:val="000000"/>
        </w:rPr>
        <w:t>我</w:t>
      </w:r>
      <w:r>
        <w:rPr>
          <w:rFonts w:hint="eastAsia" w:ascii="仿宋_GB2312" w:hAnsi="仿宋_GB2312" w:cs="仿宋_GB2312"/>
          <w:color w:val="000000"/>
          <w:lang w:eastAsia="zh-CN"/>
        </w:rPr>
        <w:t>会</w:t>
      </w:r>
      <w:r>
        <w:rPr>
          <w:rFonts w:hint="eastAsia" w:ascii="仿宋_GB2312" w:hAnsi="仿宋_GB2312" w:cs="仿宋_GB2312"/>
          <w:color w:val="000000"/>
        </w:rPr>
        <w:t>围绕县委、县政府</w:t>
      </w:r>
      <w:r>
        <w:rPr>
          <w:rFonts w:hint="eastAsia" w:ascii="仿宋_GB2312" w:hAnsi="仿宋_GB2312" w:cs="仿宋_GB2312"/>
          <w:color w:val="000000"/>
          <w:lang w:eastAsia="zh-CN"/>
        </w:rPr>
        <w:t>下达的各项工作目标</w:t>
      </w:r>
      <w:r>
        <w:rPr>
          <w:rFonts w:hint="eastAsia" w:ascii="仿宋_GB2312" w:hAnsi="仿宋_GB2312" w:cs="仿宋_GB2312"/>
          <w:color w:val="000000"/>
        </w:rPr>
        <w:t>，主动适应新形势、新任务和新要求，从提升工作效能入手，强化服务意识，规范工作流程，完善制度机制，</w:t>
      </w:r>
      <w:r>
        <w:rPr>
          <w:rFonts w:hint="eastAsia" w:ascii="宋体" w:hAnsi="宋体" w:cs="仿宋_GB2312"/>
          <w:color w:val="000000"/>
          <w:sz w:val="28"/>
          <w:szCs w:val="28"/>
        </w:rPr>
        <w:t>开展救援、救灾的相关工作，建立红十字应急救援体系</w:t>
      </w:r>
      <w:r>
        <w:rPr>
          <w:rFonts w:hint="eastAsia" w:ascii="宋体" w:hAnsi="宋体" w:cs="仿宋_GB2312"/>
          <w:color w:val="000000"/>
          <w:sz w:val="28"/>
          <w:szCs w:val="28"/>
          <w:lang w:eastAsia="zh-CN"/>
        </w:rPr>
        <w:t>、</w:t>
      </w:r>
      <w:r>
        <w:rPr>
          <w:rFonts w:hint="eastAsia" w:ascii="宋体" w:hAnsi="宋体" w:cs="仿宋_GB2312"/>
          <w:color w:val="000000"/>
          <w:sz w:val="28"/>
          <w:szCs w:val="28"/>
        </w:rPr>
        <w:t>组织开展红十字志愿服务、红十字青少年工作</w:t>
      </w:r>
      <w:r>
        <w:rPr>
          <w:rFonts w:hint="eastAsia" w:ascii="宋体" w:hAnsi="宋体" w:cs="仿宋_GB2312"/>
          <w:color w:val="000000"/>
          <w:sz w:val="28"/>
          <w:szCs w:val="28"/>
          <w:lang w:eastAsia="zh-CN"/>
        </w:rPr>
        <w:t>、</w:t>
      </w:r>
      <w:r>
        <w:rPr>
          <w:rFonts w:hint="eastAsia" w:ascii="宋体" w:hAnsi="宋体" w:cs="仿宋_GB2312"/>
          <w:color w:val="000000"/>
          <w:sz w:val="28"/>
          <w:szCs w:val="28"/>
        </w:rPr>
        <w:t>参加国际人道主义救援工作</w:t>
      </w:r>
      <w:r>
        <w:rPr>
          <w:rFonts w:hint="eastAsia" w:ascii="宋体" w:hAnsi="宋体" w:cs="仿宋_GB2312"/>
          <w:color w:val="000000"/>
          <w:sz w:val="28"/>
          <w:szCs w:val="28"/>
          <w:lang w:eastAsia="zh-CN"/>
        </w:rPr>
        <w:t>及</w:t>
      </w:r>
      <w:r>
        <w:rPr>
          <w:rFonts w:hint="eastAsia" w:ascii="宋体" w:hAnsi="宋体" w:cs="仿宋_GB2312"/>
          <w:color w:val="000000"/>
          <w:sz w:val="28"/>
          <w:szCs w:val="28"/>
        </w:rPr>
        <w:t>协助人民政府开展与其职责相关的其他人道主义服务活动</w:t>
      </w:r>
      <w:r>
        <w:rPr>
          <w:rFonts w:hint="eastAsia" w:ascii="仿宋_GB2312" w:hAnsi="仿宋_GB2312" w:cs="仿宋_GB2312"/>
          <w:color w:val="000000"/>
        </w:rPr>
        <w:t>等各项工作都取得了较好的成绩</w:t>
      </w:r>
      <w:r>
        <w:rPr>
          <w:rFonts w:hint="eastAsia" w:ascii="仿宋_GB2312" w:hAnsi="仿宋_GB2312" w:cs="仿宋_GB2312"/>
          <w:color w:val="000000"/>
          <w:lang w:eastAsia="zh-CN"/>
        </w:rPr>
        <w:t>。</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五、存在的问题</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通过前述对我</w:t>
      </w:r>
      <w:r>
        <w:rPr>
          <w:rFonts w:hint="eastAsia" w:ascii="仿宋_GB2312" w:hAnsi="仿宋_GB2312" w:cs="仿宋_GB2312"/>
          <w:color w:val="000000"/>
          <w:lang w:eastAsia="zh-CN"/>
        </w:rPr>
        <w:t>馆</w:t>
      </w:r>
      <w:r>
        <w:rPr>
          <w:rFonts w:hint="eastAsia" w:ascii="仿宋_GB2312" w:hAnsi="仿宋_GB2312" w:cs="仿宋_GB2312"/>
          <w:color w:val="000000"/>
        </w:rPr>
        <w:t>整体支出情况的分析，反映出目前在整体支出的预算编制、执行和管理过程中，依然存在一些问题和不足主要是：</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1、年初预算编制前瞩性偏低，造成预算执行偏低</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2、财政预算资金安排不及时影响绩效目标完成质量；</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3、财务管理在精度和深度上有欠缺，缺乏创新；</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4、内部管理制度在实际执行过程中欠细化。</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 xml:space="preserve">    六、改进措施和有关建议</w:t>
      </w:r>
    </w:p>
    <w:p>
      <w:pPr>
        <w:spacing w:line="580" w:lineRule="exact"/>
        <w:ind w:firstLine="640" w:firstLineChars="200"/>
        <w:contextualSpacing/>
        <w:rPr>
          <w:rFonts w:hint="eastAsia" w:ascii="仿宋_GB2312" w:hAnsi="仿宋_GB2312" w:cs="仿宋_GB2312"/>
          <w:color w:val="000000"/>
        </w:rPr>
      </w:pPr>
      <w:r>
        <w:rPr>
          <w:rFonts w:hint="eastAsia" w:ascii="仿宋_GB2312" w:hAnsi="仿宋_GB2312" w:cs="仿宋_GB2312"/>
          <w:color w:val="000000"/>
        </w:rPr>
        <w:t>1、进一步加强内部机构的预算管理意识，严格按照预算编制的相关制度和要求，合理科学的编制预算，进一步提高预算编制的前瞩性、合理性、严谨性和可控性。</w:t>
      </w:r>
    </w:p>
    <w:p>
      <w:pPr>
        <w:spacing w:line="580" w:lineRule="exact"/>
        <w:ind w:firstLine="640" w:firstLineChars="200"/>
        <w:contextualSpacing/>
        <w:rPr>
          <w:rFonts w:hint="eastAsia" w:ascii="仿宋_GB2312" w:hAnsi="仿宋_GB2312" w:cs="仿宋_GB2312"/>
          <w:color w:val="000000"/>
        </w:rPr>
      </w:pPr>
      <w:r>
        <w:rPr>
          <w:rFonts w:hint="eastAsia" w:ascii="仿宋_GB2312" w:hAnsi="仿宋_GB2312" w:cs="仿宋_GB2312"/>
          <w:color w:val="000000"/>
        </w:rPr>
        <w:t>2、建议县财政足额、及时安排单位预算资金；</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　　3、加强对财务人员的业务指导及培训，让财务管理工作精华、深化；</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　　4、细化内部管理方案，重落实，高效优质地完成各项工作任务。</w:t>
      </w:r>
    </w:p>
    <w:p>
      <w:pPr>
        <w:spacing w:line="580" w:lineRule="exact"/>
        <w:contextualSpacing/>
      </w:pPr>
    </w:p>
    <w:p>
      <w:pPr>
        <w:spacing w:line="560" w:lineRule="atLeast"/>
      </w:pPr>
    </w:p>
    <w:p>
      <w:pPr>
        <w:spacing w:line="336" w:lineRule="auto"/>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48260"/>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1C4FD2"/>
    <w:multiLevelType w:val="singleLevel"/>
    <w:tmpl w:val="991C4FD2"/>
    <w:lvl w:ilvl="0" w:tentative="0">
      <w:start w:val="1"/>
      <w:numFmt w:val="chineseCounting"/>
      <w:suff w:val="nothing"/>
      <w:lvlText w:val="（%1）"/>
      <w:lvlJc w:val="left"/>
      <w:rPr>
        <w:rFonts w:hint="eastAsia"/>
      </w:rPr>
    </w:lvl>
  </w:abstractNum>
  <w:abstractNum w:abstractNumId="1">
    <w:nsid w:val="C62BFD82"/>
    <w:multiLevelType w:val="singleLevel"/>
    <w:tmpl w:val="C62BFD82"/>
    <w:lvl w:ilvl="0" w:tentative="0">
      <w:start w:val="2"/>
      <w:numFmt w:val="chineseCounting"/>
      <w:suff w:val="nothing"/>
      <w:lvlText w:val="%1、"/>
      <w:lvlJc w:val="left"/>
      <w:rPr>
        <w:rFonts w:hint="eastAsia"/>
      </w:rPr>
    </w:lvl>
  </w:abstractNum>
  <w:abstractNum w:abstractNumId="2">
    <w:nsid w:val="0C70384E"/>
    <w:multiLevelType w:val="singleLevel"/>
    <w:tmpl w:val="0C70384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MGJlM2FjNGYyMzBkNTllMjZlMzc1NTU2Zjg3ZjUifQ=="/>
  </w:docVars>
  <w:rsids>
    <w:rsidRoot w:val="005D23EC"/>
    <w:rsid w:val="005D23EC"/>
    <w:rsid w:val="006077F8"/>
    <w:rsid w:val="00723AD9"/>
    <w:rsid w:val="007754BA"/>
    <w:rsid w:val="0078601F"/>
    <w:rsid w:val="044B3B7F"/>
    <w:rsid w:val="046917C8"/>
    <w:rsid w:val="05B77F2C"/>
    <w:rsid w:val="05D13C9E"/>
    <w:rsid w:val="08B12D43"/>
    <w:rsid w:val="0BA1668E"/>
    <w:rsid w:val="0DA81381"/>
    <w:rsid w:val="0DF14C69"/>
    <w:rsid w:val="10E64849"/>
    <w:rsid w:val="130D2DA4"/>
    <w:rsid w:val="13286CF2"/>
    <w:rsid w:val="18EB32A8"/>
    <w:rsid w:val="1A4C32C6"/>
    <w:rsid w:val="1A8C400A"/>
    <w:rsid w:val="1B852A0F"/>
    <w:rsid w:val="1BFE2CE6"/>
    <w:rsid w:val="1C152129"/>
    <w:rsid w:val="23902EAD"/>
    <w:rsid w:val="24914644"/>
    <w:rsid w:val="25180974"/>
    <w:rsid w:val="2626523A"/>
    <w:rsid w:val="2C4047C0"/>
    <w:rsid w:val="2D004DF9"/>
    <w:rsid w:val="2D3C3247"/>
    <w:rsid w:val="30647BE5"/>
    <w:rsid w:val="30FC1B13"/>
    <w:rsid w:val="33BA52ED"/>
    <w:rsid w:val="3B936B4F"/>
    <w:rsid w:val="3D3C7832"/>
    <w:rsid w:val="41841981"/>
    <w:rsid w:val="42E94CF2"/>
    <w:rsid w:val="449F6BB2"/>
    <w:rsid w:val="45D04EBC"/>
    <w:rsid w:val="49685368"/>
    <w:rsid w:val="4BBA0128"/>
    <w:rsid w:val="4F6D6F84"/>
    <w:rsid w:val="512B12F3"/>
    <w:rsid w:val="51CD2963"/>
    <w:rsid w:val="559F0958"/>
    <w:rsid w:val="56B0015D"/>
    <w:rsid w:val="5A243BC9"/>
    <w:rsid w:val="5AEB5C08"/>
    <w:rsid w:val="5CD7457F"/>
    <w:rsid w:val="62FF575B"/>
    <w:rsid w:val="65845AE2"/>
    <w:rsid w:val="659C0E27"/>
    <w:rsid w:val="65A17F37"/>
    <w:rsid w:val="6A132A85"/>
    <w:rsid w:val="6A767C06"/>
    <w:rsid w:val="6AC16985"/>
    <w:rsid w:val="6D5D50CF"/>
    <w:rsid w:val="6EDC5B3C"/>
    <w:rsid w:val="7055204A"/>
    <w:rsid w:val="71722CF4"/>
    <w:rsid w:val="747514F9"/>
    <w:rsid w:val="78DC4B30"/>
    <w:rsid w:val="7910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rPr>
  </w:style>
  <w:style w:type="paragraph" w:styleId="4">
    <w:name w:val="heading 3"/>
    <w:basedOn w:val="1"/>
    <w:next w:val="1"/>
    <w:qFormat/>
    <w:uiPriority w:val="0"/>
    <w:pPr>
      <w:keepNext/>
      <w:keepLines/>
      <w:spacing w:before="260" w:after="260" w:line="415" w:lineRule="auto"/>
      <w:outlineLvl w:val="2"/>
    </w:pPr>
    <w:rPr>
      <w:b/>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6001</Words>
  <Characters>6344</Characters>
  <Lines>54</Lines>
  <Paragraphs>15</Paragraphs>
  <TotalTime>1</TotalTime>
  <ScaleCrop>false</ScaleCrop>
  <LinksUpToDate>false</LinksUpToDate>
  <CharactersWithSpaces>6778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2022-05-13T02:00:00Z</dcterms:created>
  <dc:creator>Administrator</dc:creator>
  <cp:lastModifiedBy>Administrator</cp:lastModifiedBy>
  <cp:lastPrinted>2022-05-29T11:08:21Z</cp:lastPrinted>
  <dcterms:modified xsi:type="dcterms:W3CDTF">2022-05-29T11:16:59Z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A19CE9EB5D614159AB2C6D291100790E</vt:lpwstr>
  </property>
</Properties>
</file>