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3E" w:rsidRDefault="006D2A3E">
      <w:pPr>
        <w:widowControl/>
        <w:shd w:val="clear" w:color="000000" w:fill="FFFFFF"/>
        <w:spacing w:line="432" w:lineRule="atLeast"/>
        <w:jc w:val="center"/>
        <w:outlineLvl w:val="0"/>
        <w:rPr>
          <w:rFonts w:ascii="宋体" w:cs="宋体"/>
          <w:b/>
          <w:kern w:val="1"/>
          <w:sz w:val="44"/>
          <w:szCs w:val="44"/>
        </w:rPr>
      </w:pPr>
      <w:r>
        <w:rPr>
          <w:rFonts w:ascii="宋体" w:hAnsi="宋体" w:cs="宋体"/>
          <w:b/>
          <w:kern w:val="1"/>
          <w:sz w:val="44"/>
          <w:szCs w:val="44"/>
        </w:rPr>
        <w:t xml:space="preserve">       </w:t>
      </w:r>
    </w:p>
    <w:p w:rsidR="006D2A3E" w:rsidRDefault="006D2A3E">
      <w:pPr>
        <w:widowControl/>
        <w:shd w:val="clear" w:color="000000" w:fill="FFFFFF"/>
        <w:spacing w:line="432" w:lineRule="atLeast"/>
        <w:jc w:val="center"/>
        <w:outlineLvl w:val="0"/>
        <w:rPr>
          <w:rFonts w:ascii="宋体" w:cs="宋体"/>
          <w:b/>
          <w:kern w:val="1"/>
          <w:sz w:val="44"/>
          <w:szCs w:val="44"/>
        </w:rPr>
      </w:pPr>
    </w:p>
    <w:p w:rsidR="006D2A3E" w:rsidRDefault="006D2A3E">
      <w:pPr>
        <w:widowControl/>
        <w:shd w:val="clear" w:color="000000" w:fill="FFFFFF"/>
        <w:spacing w:line="432" w:lineRule="atLeast"/>
        <w:jc w:val="center"/>
        <w:outlineLvl w:val="0"/>
        <w:rPr>
          <w:rFonts w:ascii="宋体" w:cs="宋体"/>
          <w:b/>
          <w:kern w:val="1"/>
          <w:sz w:val="44"/>
          <w:szCs w:val="44"/>
        </w:rPr>
      </w:pPr>
      <w:r>
        <w:rPr>
          <w:rFonts w:ascii="宋体" w:hAnsi="宋体" w:cs="宋体" w:hint="eastAsia"/>
          <w:b/>
          <w:kern w:val="1"/>
          <w:sz w:val="44"/>
          <w:szCs w:val="44"/>
        </w:rPr>
        <w:t>麻阳苗族自治县花灯戏剧团</w:t>
      </w:r>
    </w:p>
    <w:p w:rsidR="006D2A3E" w:rsidRDefault="006D2A3E">
      <w:pPr>
        <w:widowControl/>
        <w:shd w:val="clear" w:color="000000" w:fill="FFFFFF"/>
        <w:spacing w:line="432" w:lineRule="atLeast"/>
        <w:jc w:val="center"/>
        <w:outlineLvl w:val="0"/>
        <w:rPr>
          <w:rFonts w:ascii="宋体" w:cs="宋体"/>
          <w:b/>
          <w:kern w:val="1"/>
          <w:sz w:val="44"/>
          <w:szCs w:val="44"/>
        </w:rPr>
      </w:pPr>
      <w:r>
        <w:rPr>
          <w:rFonts w:ascii="宋体" w:hAnsi="宋体" w:cs="宋体"/>
          <w:b/>
          <w:kern w:val="1"/>
          <w:sz w:val="44"/>
          <w:szCs w:val="44"/>
        </w:rPr>
        <w:t>2021</w:t>
      </w:r>
      <w:r>
        <w:rPr>
          <w:rFonts w:ascii="宋体" w:hAnsi="宋体" w:cs="宋体" w:hint="eastAsia"/>
          <w:b/>
          <w:kern w:val="1"/>
          <w:sz w:val="44"/>
          <w:szCs w:val="44"/>
        </w:rPr>
        <w:t>年</w:t>
      </w:r>
      <w:r>
        <w:rPr>
          <w:rFonts w:ascii="宋体" w:hAnsi="宋体" w:cs="宋体" w:hint="eastAsia"/>
          <w:b/>
          <w:bCs/>
          <w:kern w:val="1"/>
          <w:sz w:val="44"/>
          <w:szCs w:val="44"/>
        </w:rPr>
        <w:t>效自评报告</w:t>
      </w:r>
    </w:p>
    <w:p w:rsidR="006D2A3E" w:rsidRDefault="006D2A3E">
      <w:pPr>
        <w:widowControl/>
        <w:shd w:val="clear" w:color="000000" w:fill="FFFFFF"/>
        <w:spacing w:line="432" w:lineRule="atLeast"/>
        <w:jc w:val="center"/>
        <w:outlineLvl w:val="0"/>
        <w:rPr>
          <w:rFonts w:ascii="黑体" w:eastAsia="黑体" w:hAnsi="黑体" w:cs="宋体"/>
          <w:kern w:val="1"/>
          <w:sz w:val="36"/>
          <w:szCs w:val="36"/>
        </w:rPr>
      </w:pPr>
    </w:p>
    <w:p w:rsidR="006D2A3E" w:rsidRPr="00562AA9" w:rsidRDefault="006D2A3E" w:rsidP="00C30080">
      <w:pPr>
        <w:spacing w:beforeLines="50" w:afterLines="50"/>
        <w:ind w:firstLine="643"/>
        <w:rPr>
          <w:rFonts w:ascii="宋体"/>
          <w:b/>
          <w:kern w:val="1"/>
          <w:sz w:val="32"/>
          <w:szCs w:val="32"/>
        </w:rPr>
      </w:pPr>
      <w:r w:rsidRPr="00562AA9">
        <w:rPr>
          <w:rFonts w:ascii="宋体" w:hAnsi="宋体" w:hint="eastAsia"/>
          <w:b/>
          <w:kern w:val="1"/>
          <w:sz w:val="32"/>
          <w:szCs w:val="32"/>
        </w:rPr>
        <w:t>一、</w:t>
      </w:r>
      <w:r>
        <w:rPr>
          <w:rFonts w:ascii="宋体" w:hAnsi="宋体" w:hint="eastAsia"/>
          <w:b/>
          <w:kern w:val="1"/>
          <w:sz w:val="32"/>
          <w:szCs w:val="32"/>
        </w:rPr>
        <w:t>机构编制人员情况</w:t>
      </w:r>
    </w:p>
    <w:p w:rsidR="006D2A3E" w:rsidRPr="00562AA9" w:rsidRDefault="006D2A3E" w:rsidP="00C30080">
      <w:pPr>
        <w:widowControl/>
        <w:spacing w:beforeLines="50" w:afterLines="50" w:line="460" w:lineRule="exact"/>
        <w:ind w:firstLineChars="200" w:firstLine="640"/>
        <w:jc w:val="left"/>
        <w:rPr>
          <w:rFonts w:ascii="宋体" w:cs="宋体"/>
          <w:sz w:val="32"/>
          <w:szCs w:val="32"/>
          <w:lang w:val="zh-CN"/>
        </w:rPr>
      </w:pPr>
      <w:r w:rsidRPr="00AB4169">
        <w:rPr>
          <w:rFonts w:ascii="宋体" w:hAnsi="宋体" w:cs="宋体" w:hint="eastAsia"/>
          <w:kern w:val="1"/>
          <w:sz w:val="32"/>
          <w:szCs w:val="32"/>
        </w:rPr>
        <w:t>本单位业务股室</w:t>
      </w:r>
      <w:r w:rsidRPr="00AB4169">
        <w:rPr>
          <w:rFonts w:ascii="宋体" w:hAnsi="宋体" w:cs="宋体"/>
          <w:kern w:val="1"/>
          <w:sz w:val="32"/>
          <w:szCs w:val="32"/>
        </w:rPr>
        <w:t>1</w:t>
      </w:r>
      <w:r w:rsidRPr="00AB4169">
        <w:rPr>
          <w:rFonts w:ascii="宋体" w:hAnsi="宋体" w:cs="宋体" w:hint="eastAsia"/>
          <w:kern w:val="1"/>
          <w:sz w:val="32"/>
          <w:szCs w:val="32"/>
        </w:rPr>
        <w:t>个，共事业编制</w:t>
      </w:r>
      <w:r w:rsidRPr="00AB4169">
        <w:rPr>
          <w:rFonts w:ascii="宋体" w:hAnsi="宋体" w:cs="宋体"/>
          <w:kern w:val="1"/>
          <w:sz w:val="32"/>
          <w:szCs w:val="32"/>
        </w:rPr>
        <w:t>1</w:t>
      </w:r>
      <w:r w:rsidRPr="00AB4169">
        <w:rPr>
          <w:rFonts w:ascii="宋体" w:hAnsi="宋体" w:cs="宋体" w:hint="eastAsia"/>
          <w:kern w:val="1"/>
          <w:sz w:val="32"/>
          <w:szCs w:val="32"/>
        </w:rPr>
        <w:t>个，实有事业编制人员</w:t>
      </w:r>
      <w:r>
        <w:rPr>
          <w:rFonts w:ascii="宋体" w:hAnsi="宋体" w:cs="宋体"/>
          <w:kern w:val="1"/>
          <w:sz w:val="32"/>
          <w:szCs w:val="32"/>
        </w:rPr>
        <w:t>16</w:t>
      </w:r>
      <w:r w:rsidRPr="00AB4169">
        <w:rPr>
          <w:rFonts w:ascii="宋体" w:hAnsi="宋体" w:cs="宋体" w:hint="eastAsia"/>
          <w:kern w:val="1"/>
          <w:sz w:val="32"/>
          <w:szCs w:val="32"/>
        </w:rPr>
        <w:t>人，单位退休人员</w:t>
      </w:r>
      <w:r w:rsidRPr="00AB4169">
        <w:rPr>
          <w:rFonts w:ascii="宋体" w:hAnsi="宋体" w:cs="宋体"/>
          <w:kern w:val="1"/>
          <w:sz w:val="32"/>
          <w:szCs w:val="32"/>
        </w:rPr>
        <w:t>14</w:t>
      </w:r>
      <w:r w:rsidRPr="00AB4169">
        <w:rPr>
          <w:rFonts w:ascii="宋体" w:hAnsi="宋体" w:cs="宋体" w:hint="eastAsia"/>
          <w:kern w:val="1"/>
          <w:sz w:val="32"/>
          <w:szCs w:val="32"/>
        </w:rPr>
        <w:t>人。</w:t>
      </w:r>
    </w:p>
    <w:p w:rsidR="006D2A3E" w:rsidRPr="00562AA9" w:rsidRDefault="006D2A3E" w:rsidP="00C30080">
      <w:pPr>
        <w:widowControl/>
        <w:spacing w:beforeLines="50" w:afterLines="50" w:line="460" w:lineRule="exact"/>
        <w:ind w:firstLineChars="200" w:firstLine="643"/>
        <w:jc w:val="left"/>
        <w:rPr>
          <w:rFonts w:ascii="宋体" w:cs="宋体"/>
          <w:b/>
          <w:kern w:val="1"/>
          <w:sz w:val="32"/>
          <w:szCs w:val="32"/>
        </w:rPr>
      </w:pPr>
      <w:r w:rsidRPr="00562AA9">
        <w:rPr>
          <w:rFonts w:ascii="宋体" w:hAnsi="宋体" w:hint="eastAsia"/>
          <w:b/>
          <w:kern w:val="1"/>
          <w:sz w:val="32"/>
          <w:szCs w:val="32"/>
        </w:rPr>
        <w:t>二、</w:t>
      </w:r>
      <w:r>
        <w:rPr>
          <w:rFonts w:ascii="宋体" w:hAnsi="宋体" w:cs="宋体" w:hint="eastAsia"/>
          <w:b/>
          <w:kern w:val="1"/>
          <w:sz w:val="32"/>
          <w:szCs w:val="32"/>
        </w:rPr>
        <w:t>单位主要职能与年度绩效目标</w:t>
      </w:r>
    </w:p>
    <w:p w:rsidR="006D2A3E" w:rsidRPr="00AB4169" w:rsidRDefault="006D2A3E" w:rsidP="00C30080">
      <w:pPr>
        <w:widowControl/>
        <w:spacing w:beforeLines="50" w:afterLines="50" w:line="460" w:lineRule="exact"/>
        <w:ind w:firstLineChars="200" w:firstLine="640"/>
        <w:jc w:val="left"/>
        <w:rPr>
          <w:rFonts w:ascii="宋体" w:cs="宋体"/>
          <w:sz w:val="32"/>
          <w:szCs w:val="32"/>
          <w:lang w:val="zh-CN"/>
        </w:rPr>
      </w:pPr>
      <w:r w:rsidRPr="00562AA9">
        <w:rPr>
          <w:rFonts w:ascii="宋体" w:hAnsi="宋体" w:cs="宋体"/>
          <w:sz w:val="32"/>
          <w:szCs w:val="32"/>
          <w:lang w:val="zh-CN"/>
        </w:rPr>
        <w:t>1</w:t>
      </w:r>
      <w:r w:rsidRPr="00562AA9">
        <w:rPr>
          <w:rFonts w:ascii="宋体" w:hAnsi="宋体" w:cs="宋体" w:hint="eastAsia"/>
          <w:sz w:val="32"/>
          <w:szCs w:val="32"/>
          <w:lang w:val="zh-CN"/>
        </w:rPr>
        <w:t>、</w:t>
      </w:r>
      <w:r w:rsidRPr="00AB4169">
        <w:rPr>
          <w:rFonts w:hint="eastAsia"/>
          <w:sz w:val="32"/>
          <w:szCs w:val="32"/>
        </w:rPr>
        <w:t>我单位主要职能有：为繁华麻阳县文化事业服务，配合县委、政府中心，开展文艺演出，围绕政策宣传，面对城乡进行演出。</w:t>
      </w:r>
    </w:p>
    <w:p w:rsidR="006D2A3E" w:rsidRDefault="006D2A3E" w:rsidP="00AB4169">
      <w:pPr>
        <w:spacing w:line="240" w:lineRule="atLeast"/>
        <w:ind w:firstLineChars="200" w:firstLine="640"/>
        <w:rPr>
          <w:sz w:val="28"/>
        </w:rPr>
      </w:pPr>
      <w:r w:rsidRPr="00562AA9">
        <w:rPr>
          <w:rFonts w:ascii="宋体" w:hAnsi="宋体" w:cs="宋体"/>
          <w:sz w:val="32"/>
          <w:szCs w:val="32"/>
          <w:lang w:val="zh-CN"/>
        </w:rPr>
        <w:t>2</w:t>
      </w:r>
      <w:r w:rsidRPr="00562AA9">
        <w:rPr>
          <w:rFonts w:ascii="宋体" w:hAnsi="宋体" w:cs="宋体" w:hint="eastAsia"/>
          <w:sz w:val="32"/>
          <w:szCs w:val="32"/>
          <w:lang w:val="zh-CN"/>
        </w:rPr>
        <w:t>、</w:t>
      </w:r>
      <w:r w:rsidRPr="00AB4169">
        <w:rPr>
          <w:rFonts w:hint="eastAsia"/>
          <w:sz w:val="32"/>
          <w:szCs w:val="32"/>
        </w:rPr>
        <w:t>年度目标：积极做好惠民政策送万家文化送戏下乡活动；抓好花灯剧种非物质文化遗产的申报工作及剧种保护工作。</w:t>
      </w:r>
    </w:p>
    <w:p w:rsidR="006D2A3E" w:rsidRPr="00562AA9" w:rsidRDefault="006D2A3E" w:rsidP="00C30080">
      <w:pPr>
        <w:widowControl/>
        <w:spacing w:beforeLines="50" w:afterLines="50" w:line="460" w:lineRule="exact"/>
        <w:ind w:firstLineChars="200" w:firstLine="643"/>
        <w:jc w:val="left"/>
        <w:rPr>
          <w:rFonts w:ascii="宋体"/>
          <w:b/>
          <w:kern w:val="1"/>
          <w:sz w:val="32"/>
          <w:szCs w:val="32"/>
        </w:rPr>
      </w:pPr>
      <w:r>
        <w:rPr>
          <w:rFonts w:ascii="宋体" w:hAnsi="宋体" w:hint="eastAsia"/>
          <w:b/>
          <w:kern w:val="1"/>
          <w:sz w:val="32"/>
          <w:szCs w:val="32"/>
        </w:rPr>
        <w:t>三</w:t>
      </w:r>
      <w:r w:rsidRPr="00562AA9">
        <w:rPr>
          <w:rFonts w:ascii="宋体" w:hAnsi="宋体" w:hint="eastAsia"/>
          <w:b/>
          <w:kern w:val="1"/>
          <w:sz w:val="32"/>
          <w:szCs w:val="32"/>
        </w:rPr>
        <w:t>、</w:t>
      </w:r>
      <w:r>
        <w:rPr>
          <w:rFonts w:ascii="宋体" w:hAnsi="宋体"/>
          <w:b/>
          <w:kern w:val="1"/>
          <w:sz w:val="32"/>
          <w:szCs w:val="32"/>
        </w:rPr>
        <w:t>2021</w:t>
      </w:r>
      <w:r>
        <w:rPr>
          <w:rFonts w:ascii="宋体" w:hAnsi="宋体" w:hint="eastAsia"/>
          <w:b/>
          <w:kern w:val="1"/>
          <w:sz w:val="32"/>
          <w:szCs w:val="32"/>
        </w:rPr>
        <w:t>年度整体</w:t>
      </w:r>
      <w:r w:rsidRPr="00562AA9">
        <w:rPr>
          <w:rFonts w:ascii="宋体" w:hAnsi="宋体" w:hint="eastAsia"/>
          <w:b/>
          <w:kern w:val="1"/>
          <w:sz w:val="32"/>
          <w:szCs w:val="32"/>
        </w:rPr>
        <w:t>支出</w:t>
      </w:r>
      <w:r>
        <w:rPr>
          <w:rFonts w:ascii="宋体" w:hAnsi="宋体" w:hint="eastAsia"/>
          <w:b/>
          <w:kern w:val="1"/>
          <w:sz w:val="32"/>
          <w:szCs w:val="32"/>
        </w:rPr>
        <w:t>及管理</w:t>
      </w:r>
      <w:r w:rsidRPr="00562AA9">
        <w:rPr>
          <w:rFonts w:ascii="宋体" w:hAnsi="宋体" w:hint="eastAsia"/>
          <w:b/>
          <w:kern w:val="1"/>
          <w:sz w:val="32"/>
          <w:szCs w:val="32"/>
        </w:rPr>
        <w:t>情况</w:t>
      </w:r>
    </w:p>
    <w:p w:rsidR="006D2A3E" w:rsidRDefault="006D2A3E" w:rsidP="00C30080">
      <w:pPr>
        <w:spacing w:beforeLines="50" w:afterLines="50"/>
        <w:ind w:firstLine="643"/>
        <w:rPr>
          <w:rFonts w:ascii="宋体" w:cs="宋体"/>
          <w:sz w:val="32"/>
          <w:szCs w:val="32"/>
        </w:rPr>
      </w:pPr>
      <w:r>
        <w:rPr>
          <w:rFonts w:ascii="宋体" w:hAnsi="宋体" w:cs="宋体"/>
          <w:sz w:val="32"/>
          <w:szCs w:val="32"/>
        </w:rPr>
        <w:t>2021</w:t>
      </w:r>
      <w:r w:rsidRPr="00562AA9">
        <w:rPr>
          <w:rFonts w:ascii="宋体" w:hAnsi="宋体" w:cs="宋体" w:hint="eastAsia"/>
          <w:sz w:val="32"/>
          <w:szCs w:val="32"/>
        </w:rPr>
        <w:t>年</w:t>
      </w:r>
      <w:r>
        <w:rPr>
          <w:rFonts w:ascii="宋体" w:hAnsi="宋体" w:cs="宋体" w:hint="eastAsia"/>
          <w:sz w:val="32"/>
          <w:szCs w:val="32"/>
        </w:rPr>
        <w:t>预算总收入</w:t>
      </w:r>
      <w:r>
        <w:rPr>
          <w:rFonts w:ascii="宋体" w:hAnsi="宋体" w:cs="宋体"/>
          <w:sz w:val="32"/>
          <w:szCs w:val="32"/>
        </w:rPr>
        <w:t>232.6</w:t>
      </w:r>
      <w:r>
        <w:rPr>
          <w:rFonts w:ascii="宋体" w:hAnsi="宋体" w:cs="宋体" w:hint="eastAsia"/>
          <w:sz w:val="32"/>
          <w:szCs w:val="32"/>
        </w:rPr>
        <w:t>万</w:t>
      </w:r>
      <w:r w:rsidRPr="00562AA9">
        <w:rPr>
          <w:rFonts w:ascii="宋体" w:hAnsi="宋体" w:cs="宋体" w:hint="eastAsia"/>
          <w:sz w:val="32"/>
          <w:szCs w:val="32"/>
        </w:rPr>
        <w:t>元，其中</w:t>
      </w:r>
      <w:r>
        <w:rPr>
          <w:rFonts w:ascii="宋体" w:hAnsi="宋体" w:cs="宋体" w:hint="eastAsia"/>
          <w:sz w:val="32"/>
          <w:szCs w:val="32"/>
        </w:rPr>
        <w:t>年初预算安排</w:t>
      </w:r>
      <w:r>
        <w:rPr>
          <w:rFonts w:ascii="宋体" w:hAnsi="宋体" w:cs="宋体"/>
          <w:sz w:val="32"/>
          <w:szCs w:val="32"/>
        </w:rPr>
        <w:t>109.79</w:t>
      </w:r>
      <w:r>
        <w:rPr>
          <w:rFonts w:ascii="宋体" w:hAnsi="宋体" w:cs="宋体" w:hint="eastAsia"/>
          <w:sz w:val="32"/>
          <w:szCs w:val="32"/>
        </w:rPr>
        <w:t>万元，年度预算追加</w:t>
      </w:r>
      <w:r>
        <w:rPr>
          <w:rFonts w:ascii="宋体" w:hAnsi="宋体" w:cs="宋体"/>
          <w:sz w:val="32"/>
          <w:szCs w:val="32"/>
        </w:rPr>
        <w:t>76.13</w:t>
      </w:r>
      <w:r>
        <w:rPr>
          <w:rFonts w:ascii="宋体" w:hAnsi="宋体" w:cs="宋体" w:hint="eastAsia"/>
          <w:sz w:val="32"/>
          <w:szCs w:val="32"/>
        </w:rPr>
        <w:t>万元，上年结转收入</w:t>
      </w:r>
      <w:r>
        <w:rPr>
          <w:rFonts w:ascii="宋体" w:cs="宋体"/>
          <w:sz w:val="32"/>
          <w:szCs w:val="32"/>
        </w:rPr>
        <w:t>46.68</w:t>
      </w:r>
      <w:r>
        <w:rPr>
          <w:rFonts w:ascii="宋体" w:hAnsi="宋体" w:cs="宋体" w:hint="eastAsia"/>
          <w:sz w:val="32"/>
          <w:szCs w:val="32"/>
        </w:rPr>
        <w:t>万元。实际总支出</w:t>
      </w:r>
      <w:r>
        <w:rPr>
          <w:rFonts w:ascii="宋体" w:hAnsi="宋体" w:cs="宋体"/>
          <w:sz w:val="32"/>
          <w:szCs w:val="32"/>
        </w:rPr>
        <w:t>232.6</w:t>
      </w:r>
      <w:r>
        <w:rPr>
          <w:rFonts w:ascii="宋体" w:hAnsi="宋体" w:cs="宋体" w:hint="eastAsia"/>
          <w:sz w:val="32"/>
          <w:szCs w:val="32"/>
        </w:rPr>
        <w:t>万元，其中基本支出</w:t>
      </w:r>
      <w:r>
        <w:rPr>
          <w:rFonts w:ascii="宋体" w:hAnsi="宋体" w:cs="宋体"/>
          <w:sz w:val="32"/>
          <w:szCs w:val="32"/>
        </w:rPr>
        <w:t>232.6</w:t>
      </w:r>
      <w:r>
        <w:rPr>
          <w:rFonts w:ascii="宋体" w:hAnsi="宋体" w:cs="宋体" w:hint="eastAsia"/>
          <w:sz w:val="32"/>
          <w:szCs w:val="32"/>
        </w:rPr>
        <w:t>万元，占年初预算基本支出的</w:t>
      </w:r>
      <w:r>
        <w:rPr>
          <w:rFonts w:ascii="宋体" w:hAnsi="宋体" w:cs="宋体"/>
          <w:sz w:val="32"/>
          <w:szCs w:val="32"/>
        </w:rPr>
        <w:t>212%</w:t>
      </w:r>
      <w:r>
        <w:rPr>
          <w:rFonts w:ascii="宋体" w:hAnsi="宋体" w:cs="宋体" w:hint="eastAsia"/>
          <w:sz w:val="32"/>
          <w:szCs w:val="32"/>
        </w:rPr>
        <w:t>。占全年总支出的</w:t>
      </w:r>
      <w:r>
        <w:rPr>
          <w:rFonts w:ascii="宋体" w:hAnsi="宋体" w:cs="宋体"/>
          <w:sz w:val="32"/>
          <w:szCs w:val="32"/>
        </w:rPr>
        <w:t>100%</w:t>
      </w:r>
      <w:r>
        <w:rPr>
          <w:rFonts w:ascii="宋体" w:hAnsi="宋体" w:cs="宋体" w:hint="eastAsia"/>
          <w:sz w:val="32"/>
          <w:szCs w:val="32"/>
        </w:rPr>
        <w:t>；项目支出</w:t>
      </w:r>
      <w:r>
        <w:rPr>
          <w:rFonts w:ascii="宋体" w:cs="宋体"/>
          <w:sz w:val="32"/>
          <w:szCs w:val="32"/>
        </w:rPr>
        <w:t>0</w:t>
      </w:r>
      <w:r>
        <w:rPr>
          <w:rFonts w:ascii="宋体" w:hAnsi="宋体" w:cs="宋体" w:hint="eastAsia"/>
          <w:sz w:val="32"/>
          <w:szCs w:val="32"/>
        </w:rPr>
        <w:t>万元，占年初预算项目支出的</w:t>
      </w:r>
      <w:r>
        <w:rPr>
          <w:rFonts w:ascii="宋体" w:hAnsi="宋体" w:cs="宋体"/>
          <w:sz w:val="32"/>
          <w:szCs w:val="32"/>
        </w:rPr>
        <w:t>0%</w:t>
      </w:r>
      <w:r>
        <w:rPr>
          <w:rFonts w:ascii="宋体" w:hAnsi="宋体" w:cs="宋体" w:hint="eastAsia"/>
          <w:sz w:val="32"/>
          <w:szCs w:val="32"/>
        </w:rPr>
        <w:t>，占全年总支出的</w:t>
      </w:r>
      <w:r>
        <w:rPr>
          <w:rFonts w:ascii="宋体" w:hAnsi="宋体" w:cs="宋体"/>
          <w:sz w:val="32"/>
          <w:szCs w:val="32"/>
        </w:rPr>
        <w:t>0%</w:t>
      </w:r>
      <w:r>
        <w:rPr>
          <w:rFonts w:ascii="宋体" w:hAnsi="宋体" w:cs="宋体" w:hint="eastAsia"/>
          <w:sz w:val="32"/>
          <w:szCs w:val="32"/>
        </w:rPr>
        <w:t>；无年度结余。</w:t>
      </w:r>
    </w:p>
    <w:p w:rsidR="006D2A3E" w:rsidRPr="00562AA9" w:rsidRDefault="006D2A3E" w:rsidP="00C30080">
      <w:pPr>
        <w:spacing w:beforeLines="50" w:afterLines="50"/>
        <w:ind w:firstLine="643"/>
        <w:rPr>
          <w:rFonts w:ascii="宋体" w:cs="宋体"/>
          <w:b/>
          <w:kern w:val="1"/>
          <w:sz w:val="32"/>
          <w:szCs w:val="32"/>
        </w:rPr>
      </w:pPr>
      <w:r w:rsidRPr="00562AA9">
        <w:rPr>
          <w:rFonts w:ascii="宋体" w:hAnsi="宋体" w:cs="宋体"/>
          <w:sz w:val="32"/>
          <w:szCs w:val="32"/>
          <w:lang w:val="zh-CN"/>
        </w:rPr>
        <w:t>1</w:t>
      </w:r>
      <w:r w:rsidRPr="00562AA9">
        <w:rPr>
          <w:rFonts w:ascii="宋体" w:hAnsi="宋体" w:cs="宋体" w:hint="eastAsia"/>
          <w:sz w:val="32"/>
          <w:szCs w:val="32"/>
          <w:lang w:val="zh-CN"/>
        </w:rPr>
        <w:t>、</w:t>
      </w:r>
      <w:r>
        <w:rPr>
          <w:rFonts w:ascii="宋体" w:hAnsi="宋体" w:cs="宋体" w:hint="eastAsia"/>
          <w:sz w:val="32"/>
          <w:szCs w:val="32"/>
          <w:lang w:val="zh-CN"/>
        </w:rPr>
        <w:t>基本支出情况</w:t>
      </w:r>
    </w:p>
    <w:p w:rsidR="006D2A3E" w:rsidRPr="0044410B" w:rsidRDefault="006D2A3E" w:rsidP="00020783">
      <w:pPr>
        <w:ind w:firstLineChars="200" w:firstLine="640"/>
        <w:rPr>
          <w:rFonts w:ascii="宋体"/>
          <w:sz w:val="32"/>
          <w:szCs w:val="32"/>
        </w:rPr>
      </w:pPr>
      <w:r>
        <w:rPr>
          <w:rFonts w:ascii="宋体" w:hAnsi="宋体"/>
          <w:kern w:val="1"/>
          <w:sz w:val="32"/>
          <w:szCs w:val="32"/>
        </w:rPr>
        <w:t>2021</w:t>
      </w:r>
      <w:r w:rsidRPr="00562AA9">
        <w:rPr>
          <w:rFonts w:ascii="宋体" w:hAnsi="宋体" w:hint="eastAsia"/>
          <w:kern w:val="1"/>
          <w:sz w:val="32"/>
          <w:szCs w:val="32"/>
        </w:rPr>
        <w:t>年我团基本支出为</w:t>
      </w:r>
      <w:r>
        <w:rPr>
          <w:rFonts w:ascii="宋体" w:hAnsi="宋体"/>
          <w:kern w:val="1"/>
          <w:sz w:val="32"/>
          <w:szCs w:val="32"/>
        </w:rPr>
        <w:t>232.6</w:t>
      </w:r>
      <w:r w:rsidRPr="00562AA9">
        <w:rPr>
          <w:rFonts w:ascii="宋体" w:hAnsi="宋体" w:hint="eastAsia"/>
          <w:kern w:val="1"/>
          <w:sz w:val="32"/>
          <w:szCs w:val="32"/>
        </w:rPr>
        <w:t>万元，其中：</w:t>
      </w:r>
      <w:r>
        <w:rPr>
          <w:rFonts w:ascii="宋体" w:hAnsi="宋体" w:hint="eastAsia"/>
          <w:kern w:val="1"/>
          <w:sz w:val="32"/>
          <w:szCs w:val="32"/>
        </w:rPr>
        <w:t>一般公共性支出</w:t>
      </w:r>
      <w:r>
        <w:rPr>
          <w:rFonts w:ascii="宋体" w:hAnsi="宋体"/>
          <w:kern w:val="1"/>
          <w:sz w:val="32"/>
          <w:szCs w:val="32"/>
        </w:rPr>
        <w:t>2</w:t>
      </w:r>
      <w:r>
        <w:rPr>
          <w:rFonts w:ascii="宋体" w:hAnsi="宋体" w:hint="eastAsia"/>
          <w:kern w:val="1"/>
          <w:sz w:val="32"/>
          <w:szCs w:val="32"/>
        </w:rPr>
        <w:t>万元（其他政府办公厅室及相关机构事务支出</w:t>
      </w:r>
      <w:r>
        <w:rPr>
          <w:rFonts w:ascii="宋体" w:hAnsi="宋体"/>
          <w:kern w:val="1"/>
          <w:sz w:val="32"/>
          <w:szCs w:val="32"/>
        </w:rPr>
        <w:t>2</w:t>
      </w:r>
      <w:r>
        <w:rPr>
          <w:rFonts w:ascii="宋体" w:hAnsi="宋体" w:hint="eastAsia"/>
          <w:kern w:val="1"/>
          <w:sz w:val="32"/>
          <w:szCs w:val="32"/>
        </w:rPr>
        <w:t>万元）；</w:t>
      </w:r>
      <w:r w:rsidRPr="0044410B">
        <w:rPr>
          <w:rFonts w:ascii="宋体" w:hAnsi="宋体" w:hint="eastAsia"/>
          <w:sz w:val="32"/>
          <w:szCs w:val="32"/>
        </w:rPr>
        <w:t>文化体育与传媒</w:t>
      </w:r>
      <w:r>
        <w:rPr>
          <w:rFonts w:ascii="宋体" w:hAnsi="宋体" w:hint="eastAsia"/>
          <w:sz w:val="32"/>
          <w:szCs w:val="32"/>
        </w:rPr>
        <w:t>支出</w:t>
      </w:r>
      <w:r>
        <w:rPr>
          <w:rFonts w:ascii="宋体" w:hAnsi="宋体"/>
          <w:sz w:val="32"/>
          <w:szCs w:val="32"/>
        </w:rPr>
        <w:t>227.53</w:t>
      </w:r>
      <w:r w:rsidRPr="0044410B">
        <w:rPr>
          <w:rFonts w:ascii="宋体" w:hAnsi="宋体" w:hint="eastAsia"/>
          <w:sz w:val="32"/>
          <w:szCs w:val="32"/>
        </w:rPr>
        <w:t>万元（艺术表演团体</w:t>
      </w:r>
      <w:r>
        <w:rPr>
          <w:rFonts w:ascii="宋体" w:hAnsi="宋体"/>
          <w:sz w:val="32"/>
          <w:szCs w:val="32"/>
        </w:rPr>
        <w:t>171.38</w:t>
      </w:r>
      <w:r w:rsidRPr="0044410B">
        <w:rPr>
          <w:rFonts w:ascii="宋体" w:hAnsi="宋体" w:hint="eastAsia"/>
          <w:sz w:val="32"/>
          <w:szCs w:val="32"/>
        </w:rPr>
        <w:t>万元，</w:t>
      </w:r>
      <w:r>
        <w:rPr>
          <w:rFonts w:ascii="宋体" w:hAnsi="宋体" w:hint="eastAsia"/>
          <w:sz w:val="32"/>
          <w:szCs w:val="32"/>
        </w:rPr>
        <w:t>群众文化</w:t>
      </w:r>
      <w:r>
        <w:rPr>
          <w:rFonts w:ascii="宋体" w:hAnsi="宋体"/>
          <w:sz w:val="32"/>
          <w:szCs w:val="32"/>
        </w:rPr>
        <w:t>3.02</w:t>
      </w:r>
      <w:r>
        <w:rPr>
          <w:rFonts w:ascii="宋体" w:hAnsi="宋体" w:hint="eastAsia"/>
          <w:sz w:val="32"/>
          <w:szCs w:val="32"/>
        </w:rPr>
        <w:t>万元，</w:t>
      </w:r>
      <w:r w:rsidRPr="0044410B">
        <w:rPr>
          <w:rFonts w:ascii="宋体" w:hAnsi="宋体" w:hint="eastAsia"/>
          <w:sz w:val="32"/>
          <w:szCs w:val="32"/>
        </w:rPr>
        <w:t>其他文化</w:t>
      </w:r>
      <w:r>
        <w:rPr>
          <w:rFonts w:ascii="宋体" w:hAnsi="宋体" w:hint="eastAsia"/>
          <w:sz w:val="32"/>
          <w:szCs w:val="32"/>
        </w:rPr>
        <w:t>和旅游</w:t>
      </w:r>
      <w:r w:rsidRPr="0044410B">
        <w:rPr>
          <w:rFonts w:ascii="宋体" w:hAnsi="宋体" w:hint="eastAsia"/>
          <w:sz w:val="32"/>
          <w:szCs w:val="32"/>
        </w:rPr>
        <w:t>支出</w:t>
      </w:r>
      <w:r>
        <w:rPr>
          <w:rFonts w:ascii="宋体" w:hAnsi="宋体"/>
          <w:sz w:val="32"/>
          <w:szCs w:val="32"/>
        </w:rPr>
        <w:t>44.13</w:t>
      </w:r>
      <w:r w:rsidRPr="0044410B">
        <w:rPr>
          <w:rFonts w:ascii="宋体" w:hAnsi="宋体" w:hint="eastAsia"/>
          <w:sz w:val="32"/>
          <w:szCs w:val="32"/>
        </w:rPr>
        <w:t>万元</w:t>
      </w:r>
      <w:r>
        <w:rPr>
          <w:rFonts w:ascii="宋体" w:hAnsi="宋体" w:hint="eastAsia"/>
          <w:sz w:val="32"/>
          <w:szCs w:val="32"/>
        </w:rPr>
        <w:t>，其他</w:t>
      </w:r>
      <w:r w:rsidRPr="0044410B">
        <w:rPr>
          <w:rFonts w:ascii="宋体" w:hAnsi="宋体" w:hint="eastAsia"/>
          <w:sz w:val="32"/>
          <w:szCs w:val="32"/>
        </w:rPr>
        <w:t>文化</w:t>
      </w:r>
      <w:r>
        <w:rPr>
          <w:rFonts w:ascii="宋体" w:hAnsi="宋体" w:hint="eastAsia"/>
          <w:sz w:val="32"/>
          <w:szCs w:val="32"/>
        </w:rPr>
        <w:t>旅游</w:t>
      </w:r>
      <w:r w:rsidRPr="0044410B">
        <w:rPr>
          <w:rFonts w:ascii="宋体" w:hAnsi="宋体" w:hint="eastAsia"/>
          <w:sz w:val="32"/>
          <w:szCs w:val="32"/>
        </w:rPr>
        <w:t>体育与传媒</w:t>
      </w:r>
      <w:r>
        <w:rPr>
          <w:rFonts w:ascii="宋体" w:hAnsi="宋体" w:hint="eastAsia"/>
          <w:sz w:val="32"/>
          <w:szCs w:val="32"/>
        </w:rPr>
        <w:t>支出</w:t>
      </w:r>
      <w:r>
        <w:rPr>
          <w:rFonts w:ascii="宋体" w:hAnsi="宋体"/>
          <w:sz w:val="32"/>
          <w:szCs w:val="32"/>
        </w:rPr>
        <w:t>9</w:t>
      </w:r>
      <w:r>
        <w:rPr>
          <w:rFonts w:ascii="宋体" w:hAnsi="宋体" w:hint="eastAsia"/>
          <w:sz w:val="32"/>
          <w:szCs w:val="32"/>
        </w:rPr>
        <w:t>万元</w:t>
      </w:r>
      <w:r w:rsidRPr="0044410B">
        <w:rPr>
          <w:rFonts w:ascii="宋体" w:hAnsi="宋体" w:hint="eastAsia"/>
          <w:sz w:val="32"/>
          <w:szCs w:val="32"/>
        </w:rPr>
        <w:t>）；社会保障和就业</w:t>
      </w:r>
      <w:r>
        <w:rPr>
          <w:rFonts w:ascii="宋体" w:hAnsi="宋体"/>
          <w:sz w:val="32"/>
          <w:szCs w:val="32"/>
        </w:rPr>
        <w:t>1.35</w:t>
      </w:r>
      <w:r w:rsidRPr="0044410B">
        <w:rPr>
          <w:rFonts w:ascii="宋体" w:hAnsi="宋体" w:hint="eastAsia"/>
          <w:sz w:val="32"/>
          <w:szCs w:val="32"/>
        </w:rPr>
        <w:t>万元（机关事业单位基本养老保险缴费支出</w:t>
      </w:r>
      <w:r>
        <w:rPr>
          <w:rFonts w:ascii="宋体" w:hAnsi="宋体"/>
          <w:sz w:val="32"/>
          <w:szCs w:val="32"/>
        </w:rPr>
        <w:t>1.35</w:t>
      </w:r>
      <w:r>
        <w:rPr>
          <w:rFonts w:ascii="宋体" w:hAnsi="宋体" w:hint="eastAsia"/>
          <w:sz w:val="32"/>
          <w:szCs w:val="32"/>
        </w:rPr>
        <w:t>万元）；</w:t>
      </w:r>
      <w:r w:rsidRPr="0044410B">
        <w:rPr>
          <w:rFonts w:ascii="宋体" w:hAnsi="宋体" w:hint="eastAsia"/>
          <w:sz w:val="32"/>
          <w:szCs w:val="32"/>
        </w:rPr>
        <w:t>卫生</w:t>
      </w:r>
      <w:r>
        <w:rPr>
          <w:rFonts w:ascii="宋体" w:hAnsi="宋体" w:hint="eastAsia"/>
          <w:sz w:val="32"/>
          <w:szCs w:val="32"/>
        </w:rPr>
        <w:t>健康支出</w:t>
      </w:r>
      <w:r>
        <w:rPr>
          <w:rFonts w:ascii="宋体" w:hAnsi="宋体"/>
          <w:sz w:val="32"/>
          <w:szCs w:val="32"/>
        </w:rPr>
        <w:t>0.71</w:t>
      </w:r>
      <w:r w:rsidRPr="0044410B">
        <w:rPr>
          <w:rFonts w:ascii="宋体" w:hAnsi="宋体" w:hint="eastAsia"/>
          <w:sz w:val="32"/>
          <w:szCs w:val="32"/>
        </w:rPr>
        <w:t>万元；住房保障</w:t>
      </w:r>
      <w:r>
        <w:rPr>
          <w:rFonts w:ascii="宋体" w:hAnsi="宋体" w:hint="eastAsia"/>
          <w:sz w:val="32"/>
          <w:szCs w:val="32"/>
        </w:rPr>
        <w:t>支出</w:t>
      </w:r>
      <w:r>
        <w:rPr>
          <w:rFonts w:ascii="宋体" w:hAnsi="宋体"/>
          <w:sz w:val="32"/>
          <w:szCs w:val="32"/>
        </w:rPr>
        <w:t>1.01</w:t>
      </w:r>
      <w:r w:rsidRPr="0044410B">
        <w:rPr>
          <w:rFonts w:ascii="宋体" w:hAnsi="宋体" w:hint="eastAsia"/>
          <w:sz w:val="32"/>
          <w:szCs w:val="32"/>
        </w:rPr>
        <w:t>万元。</w:t>
      </w:r>
    </w:p>
    <w:p w:rsidR="006D2A3E" w:rsidRPr="00562AA9" w:rsidRDefault="006D2A3E" w:rsidP="00C30080">
      <w:pPr>
        <w:spacing w:beforeLines="50" w:afterLines="50"/>
        <w:ind w:firstLine="640"/>
        <w:rPr>
          <w:rFonts w:ascii="宋体"/>
          <w:kern w:val="1"/>
          <w:sz w:val="32"/>
          <w:szCs w:val="32"/>
        </w:rPr>
      </w:pPr>
      <w:r w:rsidRPr="00562AA9">
        <w:rPr>
          <w:rFonts w:ascii="宋体" w:hAnsi="宋体" w:cs="宋体"/>
          <w:sz w:val="32"/>
          <w:szCs w:val="32"/>
          <w:lang w:val="zh-CN"/>
        </w:rPr>
        <w:t>2</w:t>
      </w:r>
      <w:r w:rsidRPr="00562AA9">
        <w:rPr>
          <w:rFonts w:ascii="宋体" w:hAnsi="宋体" w:cs="宋体" w:hint="eastAsia"/>
          <w:sz w:val="32"/>
          <w:szCs w:val="32"/>
          <w:lang w:val="zh-CN"/>
        </w:rPr>
        <w:t>、</w:t>
      </w:r>
      <w:r w:rsidRPr="005E19F5">
        <w:rPr>
          <w:rFonts w:ascii="宋体" w:hAnsi="宋体" w:cs="宋体" w:hint="eastAsia"/>
          <w:kern w:val="1"/>
          <w:sz w:val="32"/>
          <w:szCs w:val="32"/>
        </w:rPr>
        <w:t>“三公”经费支出情况</w:t>
      </w:r>
      <w:r>
        <w:rPr>
          <w:rFonts w:ascii="宋体" w:hAnsi="宋体" w:cs="宋体" w:hint="eastAsia"/>
          <w:b/>
          <w:kern w:val="1"/>
          <w:sz w:val="32"/>
          <w:szCs w:val="32"/>
        </w:rPr>
        <w:t>，</w:t>
      </w:r>
      <w:r w:rsidRPr="00562AA9">
        <w:rPr>
          <w:rFonts w:ascii="宋体" w:hAnsi="宋体"/>
          <w:kern w:val="1"/>
          <w:sz w:val="32"/>
          <w:szCs w:val="32"/>
        </w:rPr>
        <w:t xml:space="preserve"> </w:t>
      </w:r>
      <w:r w:rsidRPr="00562AA9">
        <w:rPr>
          <w:rFonts w:ascii="宋体" w:hAnsi="宋体" w:hint="eastAsia"/>
          <w:kern w:val="1"/>
          <w:sz w:val="32"/>
          <w:szCs w:val="32"/>
        </w:rPr>
        <w:t>“三公”经费预算总额为</w:t>
      </w:r>
      <w:r>
        <w:rPr>
          <w:rFonts w:ascii="宋体" w:hAnsi="宋体"/>
          <w:kern w:val="1"/>
          <w:sz w:val="32"/>
          <w:szCs w:val="32"/>
        </w:rPr>
        <w:t>3.9</w:t>
      </w:r>
      <w:r w:rsidRPr="00562AA9">
        <w:rPr>
          <w:rFonts w:ascii="宋体" w:hAnsi="宋体" w:hint="eastAsia"/>
          <w:kern w:val="1"/>
          <w:sz w:val="32"/>
          <w:szCs w:val="32"/>
        </w:rPr>
        <w:t>万元，</w:t>
      </w:r>
      <w:bookmarkStart w:id="0" w:name="OLE_LINK2"/>
      <w:bookmarkEnd w:id="0"/>
      <w:r w:rsidRPr="00562AA9">
        <w:rPr>
          <w:rFonts w:ascii="宋体" w:hAnsi="宋体"/>
          <w:kern w:val="1"/>
          <w:sz w:val="32"/>
          <w:szCs w:val="32"/>
        </w:rPr>
        <w:t xml:space="preserve"> </w:t>
      </w:r>
      <w:r>
        <w:rPr>
          <w:rFonts w:ascii="宋体" w:hAnsi="宋体" w:hint="eastAsia"/>
          <w:kern w:val="1"/>
          <w:sz w:val="32"/>
          <w:szCs w:val="32"/>
        </w:rPr>
        <w:t>其中公务接待</w:t>
      </w:r>
      <w:r>
        <w:rPr>
          <w:rFonts w:ascii="宋体" w:hAnsi="宋体"/>
          <w:kern w:val="1"/>
          <w:sz w:val="32"/>
          <w:szCs w:val="32"/>
        </w:rPr>
        <w:t>1.4</w:t>
      </w:r>
      <w:r>
        <w:rPr>
          <w:rFonts w:ascii="宋体" w:hAnsi="宋体" w:hint="eastAsia"/>
          <w:kern w:val="1"/>
          <w:sz w:val="32"/>
          <w:szCs w:val="32"/>
        </w:rPr>
        <w:t>万元，公务用车运行费</w:t>
      </w:r>
      <w:r>
        <w:rPr>
          <w:rFonts w:ascii="宋体" w:hAnsi="宋体"/>
          <w:kern w:val="1"/>
          <w:sz w:val="32"/>
          <w:szCs w:val="32"/>
        </w:rPr>
        <w:t>2.5</w:t>
      </w:r>
      <w:r>
        <w:rPr>
          <w:rFonts w:ascii="宋体" w:hAnsi="宋体" w:hint="eastAsia"/>
          <w:kern w:val="1"/>
          <w:sz w:val="32"/>
          <w:szCs w:val="32"/>
        </w:rPr>
        <w:t>万元，出国考察经费</w:t>
      </w:r>
      <w:r>
        <w:rPr>
          <w:rFonts w:ascii="宋体"/>
          <w:kern w:val="1"/>
          <w:sz w:val="32"/>
          <w:szCs w:val="32"/>
        </w:rPr>
        <w:t>0</w:t>
      </w:r>
      <w:r>
        <w:rPr>
          <w:rFonts w:ascii="宋体" w:hAnsi="宋体" w:hint="eastAsia"/>
          <w:kern w:val="1"/>
          <w:sz w:val="32"/>
          <w:szCs w:val="32"/>
        </w:rPr>
        <w:t>万元。实际</w:t>
      </w:r>
      <w:r w:rsidRPr="00562AA9">
        <w:rPr>
          <w:rFonts w:ascii="宋体" w:hAnsi="宋体" w:hint="eastAsia"/>
          <w:kern w:val="1"/>
          <w:sz w:val="32"/>
          <w:szCs w:val="32"/>
        </w:rPr>
        <w:t>“三公”经费</w:t>
      </w:r>
      <w:r>
        <w:rPr>
          <w:rFonts w:ascii="宋体" w:hAnsi="宋体" w:hint="eastAsia"/>
          <w:kern w:val="1"/>
          <w:sz w:val="32"/>
          <w:szCs w:val="32"/>
        </w:rPr>
        <w:t>支出</w:t>
      </w:r>
      <w:r>
        <w:rPr>
          <w:rFonts w:ascii="宋体" w:hAnsi="宋体"/>
          <w:kern w:val="1"/>
          <w:sz w:val="32"/>
          <w:szCs w:val="32"/>
        </w:rPr>
        <w:t>3.47</w:t>
      </w:r>
      <w:r>
        <w:rPr>
          <w:rFonts w:ascii="宋体" w:hAnsi="宋体" w:hint="eastAsia"/>
          <w:kern w:val="1"/>
          <w:sz w:val="32"/>
          <w:szCs w:val="32"/>
        </w:rPr>
        <w:t>万元，占年初预算的</w:t>
      </w:r>
      <w:r>
        <w:rPr>
          <w:rFonts w:ascii="宋体" w:hAnsi="宋体"/>
          <w:kern w:val="1"/>
          <w:sz w:val="32"/>
          <w:szCs w:val="32"/>
        </w:rPr>
        <w:t>89%</w:t>
      </w:r>
      <w:r>
        <w:rPr>
          <w:rFonts w:ascii="宋体" w:hAnsi="宋体" w:hint="eastAsia"/>
          <w:kern w:val="1"/>
          <w:sz w:val="32"/>
          <w:szCs w:val="32"/>
        </w:rPr>
        <w:t>，其中公务接待费</w:t>
      </w:r>
      <w:r>
        <w:rPr>
          <w:rFonts w:ascii="宋体" w:hAnsi="宋体"/>
          <w:kern w:val="1"/>
          <w:sz w:val="32"/>
          <w:szCs w:val="32"/>
        </w:rPr>
        <w:t>1.32</w:t>
      </w:r>
      <w:r>
        <w:rPr>
          <w:rFonts w:ascii="宋体" w:hAnsi="宋体" w:hint="eastAsia"/>
          <w:kern w:val="1"/>
          <w:sz w:val="32"/>
          <w:szCs w:val="32"/>
        </w:rPr>
        <w:t>万元，占年初预算的</w:t>
      </w:r>
      <w:r>
        <w:rPr>
          <w:rFonts w:ascii="宋体" w:hAnsi="宋体"/>
          <w:kern w:val="1"/>
          <w:sz w:val="32"/>
          <w:szCs w:val="32"/>
        </w:rPr>
        <w:t>94.29%</w:t>
      </w:r>
      <w:r>
        <w:rPr>
          <w:rFonts w:ascii="宋体" w:hAnsi="宋体" w:hint="eastAsia"/>
          <w:kern w:val="1"/>
          <w:sz w:val="32"/>
          <w:szCs w:val="32"/>
        </w:rPr>
        <w:t>，公务用车运行费</w:t>
      </w:r>
      <w:r>
        <w:rPr>
          <w:rFonts w:ascii="宋体" w:hAnsi="宋体"/>
          <w:kern w:val="1"/>
          <w:sz w:val="32"/>
          <w:szCs w:val="32"/>
        </w:rPr>
        <w:t>2.15</w:t>
      </w:r>
      <w:r>
        <w:rPr>
          <w:rFonts w:ascii="宋体" w:hAnsi="宋体" w:hint="eastAsia"/>
          <w:kern w:val="1"/>
          <w:sz w:val="32"/>
          <w:szCs w:val="32"/>
        </w:rPr>
        <w:t>万元，占年初预算的</w:t>
      </w:r>
      <w:r>
        <w:rPr>
          <w:rFonts w:ascii="宋体" w:hAnsi="宋体"/>
          <w:kern w:val="1"/>
          <w:sz w:val="32"/>
          <w:szCs w:val="32"/>
        </w:rPr>
        <w:t>86%</w:t>
      </w:r>
      <w:r>
        <w:rPr>
          <w:rFonts w:ascii="宋体" w:hAnsi="宋体" w:hint="eastAsia"/>
          <w:kern w:val="1"/>
          <w:sz w:val="32"/>
          <w:szCs w:val="32"/>
        </w:rPr>
        <w:t>，出国考察经费</w:t>
      </w:r>
      <w:r>
        <w:rPr>
          <w:rFonts w:ascii="宋体"/>
          <w:kern w:val="1"/>
          <w:sz w:val="32"/>
          <w:szCs w:val="32"/>
        </w:rPr>
        <w:t>0</w:t>
      </w:r>
      <w:r>
        <w:rPr>
          <w:rFonts w:ascii="宋体" w:hAnsi="宋体" w:hint="eastAsia"/>
          <w:kern w:val="1"/>
          <w:sz w:val="32"/>
          <w:szCs w:val="32"/>
        </w:rPr>
        <w:t>万元，占年初预算的</w:t>
      </w:r>
      <w:r>
        <w:rPr>
          <w:rFonts w:ascii="宋体" w:hAnsi="宋体"/>
          <w:kern w:val="1"/>
          <w:sz w:val="32"/>
          <w:szCs w:val="32"/>
        </w:rPr>
        <w:t>0%</w:t>
      </w:r>
      <w:r>
        <w:rPr>
          <w:rFonts w:ascii="宋体" w:hAnsi="宋体" w:hint="eastAsia"/>
          <w:kern w:val="1"/>
          <w:sz w:val="32"/>
          <w:szCs w:val="32"/>
        </w:rPr>
        <w:t>，</w:t>
      </w:r>
      <w:r w:rsidRPr="00562AA9">
        <w:rPr>
          <w:rFonts w:ascii="宋体" w:hAnsi="宋体" w:hint="eastAsia"/>
          <w:kern w:val="1"/>
          <w:sz w:val="32"/>
          <w:szCs w:val="32"/>
        </w:rPr>
        <w:t>“三公”经费</w:t>
      </w:r>
      <w:r>
        <w:rPr>
          <w:rFonts w:ascii="宋体" w:hAnsi="宋体" w:hint="eastAsia"/>
          <w:kern w:val="1"/>
          <w:sz w:val="32"/>
          <w:szCs w:val="32"/>
        </w:rPr>
        <w:t>结余</w:t>
      </w:r>
      <w:r>
        <w:rPr>
          <w:rFonts w:ascii="宋体" w:hAnsi="宋体"/>
          <w:kern w:val="1"/>
          <w:sz w:val="32"/>
          <w:szCs w:val="32"/>
        </w:rPr>
        <w:t>0.43</w:t>
      </w:r>
      <w:r>
        <w:rPr>
          <w:rFonts w:ascii="宋体" w:hAnsi="宋体" w:hint="eastAsia"/>
          <w:kern w:val="1"/>
          <w:sz w:val="32"/>
          <w:szCs w:val="32"/>
        </w:rPr>
        <w:t>万元，结余率</w:t>
      </w:r>
      <w:r>
        <w:rPr>
          <w:rFonts w:ascii="宋体" w:hAnsi="宋体"/>
          <w:kern w:val="1"/>
          <w:sz w:val="32"/>
          <w:szCs w:val="32"/>
        </w:rPr>
        <w:t>0.11%</w:t>
      </w:r>
      <w:r>
        <w:rPr>
          <w:rFonts w:ascii="宋体" w:hAnsi="宋体" w:hint="eastAsia"/>
          <w:kern w:val="1"/>
          <w:sz w:val="32"/>
          <w:szCs w:val="32"/>
        </w:rPr>
        <w:t>。</w:t>
      </w:r>
    </w:p>
    <w:p w:rsidR="006D2A3E" w:rsidRPr="00562AA9" w:rsidRDefault="006D2A3E" w:rsidP="00C30080">
      <w:pPr>
        <w:spacing w:beforeLines="50" w:afterLines="50"/>
        <w:ind w:firstLine="643"/>
        <w:rPr>
          <w:rFonts w:ascii="宋体" w:cs="宋体"/>
          <w:b/>
          <w:kern w:val="1"/>
          <w:sz w:val="32"/>
          <w:szCs w:val="32"/>
        </w:rPr>
      </w:pPr>
      <w:r>
        <w:rPr>
          <w:rFonts w:ascii="宋体" w:hAnsi="宋体" w:cs="宋体"/>
          <w:sz w:val="32"/>
          <w:szCs w:val="32"/>
          <w:lang w:val="zh-CN"/>
        </w:rPr>
        <w:t>3</w:t>
      </w:r>
      <w:r w:rsidRPr="00562AA9">
        <w:rPr>
          <w:rFonts w:ascii="宋体" w:hAnsi="宋体" w:cs="宋体" w:hint="eastAsia"/>
          <w:sz w:val="32"/>
          <w:szCs w:val="32"/>
          <w:lang w:val="zh-CN"/>
        </w:rPr>
        <w:t>、</w:t>
      </w:r>
      <w:r w:rsidRPr="005E19F5">
        <w:rPr>
          <w:rFonts w:ascii="宋体" w:hAnsi="宋体" w:cs="宋体" w:hint="eastAsia"/>
          <w:kern w:val="1"/>
          <w:sz w:val="32"/>
          <w:szCs w:val="32"/>
        </w:rPr>
        <w:t>资金管理情况（内部管理制度措施）</w:t>
      </w:r>
    </w:p>
    <w:p w:rsidR="006D2A3E" w:rsidRPr="00562AA9" w:rsidRDefault="006D2A3E" w:rsidP="00C30080">
      <w:pPr>
        <w:spacing w:beforeLines="50" w:afterLines="50"/>
        <w:ind w:firstLine="640"/>
        <w:rPr>
          <w:rFonts w:ascii="宋体"/>
          <w:kern w:val="1"/>
          <w:sz w:val="32"/>
          <w:szCs w:val="32"/>
        </w:rPr>
      </w:pPr>
      <w:r w:rsidRPr="00562AA9">
        <w:rPr>
          <w:rFonts w:ascii="宋体" w:hAnsi="宋体" w:hint="eastAsia"/>
          <w:kern w:val="1"/>
          <w:sz w:val="32"/>
          <w:szCs w:val="32"/>
        </w:rPr>
        <w:t>我团严格按照专项资金相关管理规定管理和使用财政专项资金，确保财政资金使用效益。做到资金拨付审批手续完整，专款专用，不存在支出依据不合规、虚列项目支出、截留、挤占、挪用和超标准支出等现象。同时，我们严格按照《会计法》及相关会计制度办理会计业务，进行会计核算，确保专项资金会计信息客观、真实。</w:t>
      </w:r>
    </w:p>
    <w:p w:rsidR="006D2A3E" w:rsidRPr="00562AA9" w:rsidRDefault="006D2A3E" w:rsidP="00C30080">
      <w:pPr>
        <w:spacing w:beforeLines="50" w:afterLines="50"/>
        <w:ind w:firstLine="643"/>
        <w:rPr>
          <w:rFonts w:ascii="宋体"/>
          <w:b/>
          <w:kern w:val="1"/>
          <w:sz w:val="32"/>
          <w:szCs w:val="32"/>
        </w:rPr>
      </w:pPr>
      <w:r>
        <w:rPr>
          <w:rFonts w:ascii="宋体" w:hAnsi="宋体" w:hint="eastAsia"/>
          <w:b/>
          <w:kern w:val="1"/>
          <w:sz w:val="32"/>
          <w:szCs w:val="32"/>
        </w:rPr>
        <w:t>四</w:t>
      </w:r>
      <w:r w:rsidRPr="00562AA9">
        <w:rPr>
          <w:rFonts w:ascii="宋体" w:hAnsi="宋体" w:hint="eastAsia"/>
          <w:b/>
          <w:kern w:val="1"/>
          <w:sz w:val="32"/>
          <w:szCs w:val="32"/>
        </w:rPr>
        <w:t>、部门整体支出绩效情况</w:t>
      </w:r>
    </w:p>
    <w:p w:rsidR="006D2A3E" w:rsidRDefault="006D2A3E" w:rsidP="00C30080">
      <w:pPr>
        <w:pStyle w:val="PlainText"/>
        <w:spacing w:beforeLines="50" w:afterLines="50"/>
        <w:ind w:firstLineChars="200" w:firstLine="640"/>
        <w:rPr>
          <w:rFonts w:hAnsi="宋体"/>
          <w:sz w:val="32"/>
          <w:szCs w:val="32"/>
        </w:rPr>
      </w:pPr>
      <w:r w:rsidRPr="00562AA9">
        <w:rPr>
          <w:rFonts w:hAnsi="宋体" w:hint="eastAsia"/>
          <w:sz w:val="32"/>
          <w:szCs w:val="32"/>
        </w:rPr>
        <w:t>通过开展送戏下乡惠民演出活动，充分调动群众的文化积极性，也让更多的人了解并喜爱花灯戏，使花灯戏传承下去。群众反响强烈，几乎场场爆满。通过精彩的表演让普通群众对花灯戏有了更一步的了解。</w:t>
      </w:r>
    </w:p>
    <w:p w:rsidR="006D2A3E" w:rsidRPr="00562AA9" w:rsidRDefault="006D2A3E" w:rsidP="00C30080">
      <w:pPr>
        <w:spacing w:beforeLines="50" w:afterLines="50" w:line="540" w:lineRule="exact"/>
        <w:ind w:firstLineChars="200" w:firstLine="643"/>
        <w:rPr>
          <w:rFonts w:ascii="宋体"/>
          <w:b/>
          <w:kern w:val="1"/>
          <w:sz w:val="32"/>
          <w:szCs w:val="32"/>
        </w:rPr>
      </w:pPr>
      <w:r w:rsidRPr="00562AA9">
        <w:rPr>
          <w:rFonts w:ascii="宋体" w:hAnsi="宋体" w:hint="eastAsia"/>
          <w:b/>
          <w:kern w:val="1"/>
          <w:sz w:val="32"/>
          <w:szCs w:val="32"/>
        </w:rPr>
        <w:t>四、存在的主要问题</w:t>
      </w:r>
    </w:p>
    <w:p w:rsidR="006D2A3E" w:rsidRPr="00562AA9" w:rsidRDefault="006D2A3E" w:rsidP="00C30080">
      <w:pPr>
        <w:spacing w:beforeLines="50" w:afterLines="50"/>
        <w:ind w:firstLine="640"/>
        <w:rPr>
          <w:rFonts w:ascii="宋体"/>
          <w:kern w:val="1"/>
          <w:sz w:val="32"/>
          <w:szCs w:val="32"/>
        </w:rPr>
      </w:pPr>
      <w:r w:rsidRPr="00562AA9">
        <w:rPr>
          <w:rFonts w:ascii="宋体" w:hAnsi="宋体" w:hint="eastAsia"/>
          <w:kern w:val="1"/>
          <w:sz w:val="32"/>
          <w:szCs w:val="32"/>
        </w:rPr>
        <w:t>（一）基本支出中预算编制的精细化、合理化有待进一步提高。</w:t>
      </w:r>
    </w:p>
    <w:p w:rsidR="006D2A3E" w:rsidRPr="00562AA9" w:rsidRDefault="006D2A3E" w:rsidP="00C30080">
      <w:pPr>
        <w:spacing w:beforeLines="50" w:afterLines="50"/>
        <w:ind w:firstLine="640"/>
        <w:rPr>
          <w:rFonts w:ascii="宋体"/>
          <w:kern w:val="1"/>
          <w:sz w:val="32"/>
          <w:szCs w:val="32"/>
        </w:rPr>
      </w:pPr>
      <w:r w:rsidRPr="00562AA9">
        <w:rPr>
          <w:rFonts w:ascii="宋体" w:hAnsi="宋体" w:hint="eastAsia"/>
          <w:kern w:val="1"/>
          <w:sz w:val="32"/>
          <w:szCs w:val="32"/>
        </w:rPr>
        <w:t>（二）资产管理水平有待进一步提高。我</w:t>
      </w:r>
      <w:r>
        <w:rPr>
          <w:rFonts w:ascii="宋体" w:hAnsi="宋体" w:hint="eastAsia"/>
          <w:kern w:val="1"/>
          <w:sz w:val="32"/>
          <w:szCs w:val="32"/>
        </w:rPr>
        <w:t>团</w:t>
      </w:r>
      <w:r w:rsidRPr="00562AA9">
        <w:rPr>
          <w:rFonts w:ascii="宋体" w:hAnsi="宋体" w:hint="eastAsia"/>
          <w:kern w:val="1"/>
          <w:sz w:val="32"/>
          <w:szCs w:val="32"/>
        </w:rPr>
        <w:t>在资产管理方面虽然已对历年的呆账进行了初步处理，将历年遗留的呆账现象，账龄很长，账面有记载，而实际已不存在或者无法追回的往来款项按财政相关规定进行了处置，但仍有部分往来款待进一步清查细化。</w:t>
      </w:r>
    </w:p>
    <w:p w:rsidR="006D2A3E" w:rsidRPr="00562AA9" w:rsidRDefault="006D2A3E" w:rsidP="00C30080">
      <w:pPr>
        <w:spacing w:beforeLines="50" w:afterLines="50"/>
        <w:ind w:firstLine="643"/>
        <w:rPr>
          <w:rFonts w:ascii="宋体"/>
          <w:b/>
          <w:kern w:val="1"/>
          <w:sz w:val="32"/>
          <w:szCs w:val="32"/>
        </w:rPr>
      </w:pPr>
      <w:r w:rsidRPr="00562AA9">
        <w:rPr>
          <w:rFonts w:ascii="宋体" w:hAnsi="宋体" w:hint="eastAsia"/>
          <w:b/>
          <w:kern w:val="1"/>
          <w:sz w:val="32"/>
          <w:szCs w:val="32"/>
        </w:rPr>
        <w:t>五、改进措施和有关建议</w:t>
      </w:r>
    </w:p>
    <w:p w:rsidR="006D2A3E" w:rsidRPr="00562AA9" w:rsidRDefault="006D2A3E" w:rsidP="00C30080">
      <w:pPr>
        <w:spacing w:beforeLines="50" w:afterLines="50"/>
        <w:ind w:firstLine="640"/>
        <w:rPr>
          <w:rFonts w:ascii="宋体"/>
          <w:kern w:val="1"/>
          <w:sz w:val="32"/>
          <w:szCs w:val="32"/>
        </w:rPr>
      </w:pPr>
      <w:r w:rsidRPr="00562AA9">
        <w:rPr>
          <w:rFonts w:ascii="宋体" w:hAnsi="宋体" w:hint="eastAsia"/>
          <w:kern w:val="1"/>
          <w:sz w:val="32"/>
          <w:szCs w:val="32"/>
        </w:rPr>
        <w:t>（一）认真细致地开展调研并进行科学论证，确保预算编制有的放矢。按照新《预算法》及其实施条例的相关规定，加强预算编制的前瞻性，避免预算支出与实际执行出现较大偏差的情况，执行中确需调整预算的，按规定程序报经批准；落实预算执行分析，及时了解预算执行差异，合理调整、纠正预算执行偏差，切实提高部门预算收支管理水平。</w:t>
      </w:r>
    </w:p>
    <w:p w:rsidR="006D2A3E" w:rsidRPr="00562AA9" w:rsidRDefault="006D2A3E" w:rsidP="00C30080">
      <w:pPr>
        <w:spacing w:beforeLines="50" w:afterLines="50"/>
        <w:ind w:firstLine="640"/>
        <w:rPr>
          <w:rFonts w:ascii="宋体"/>
          <w:kern w:val="1"/>
          <w:sz w:val="32"/>
          <w:szCs w:val="32"/>
        </w:rPr>
      </w:pPr>
      <w:r w:rsidRPr="00562AA9">
        <w:rPr>
          <w:rFonts w:ascii="宋体" w:hAnsi="宋体" w:hint="eastAsia"/>
          <w:kern w:val="1"/>
          <w:sz w:val="32"/>
          <w:szCs w:val="32"/>
        </w:rPr>
        <w:t>（二）完善管理制度，进一步加强资产管理。严格按照《固定资产管理办法》的规定加强固定资产管理，及时登记、更新台账，加强资产卡片管理，年终前对各类实物资产进行全面盘点，确保账账、账卡、账实相符。</w:t>
      </w:r>
    </w:p>
    <w:p w:rsidR="006D2A3E" w:rsidRPr="00562AA9" w:rsidRDefault="006D2A3E" w:rsidP="00C30080">
      <w:pPr>
        <w:spacing w:beforeLines="50" w:afterLines="50"/>
        <w:ind w:firstLine="640"/>
        <w:rPr>
          <w:rFonts w:ascii="宋体"/>
          <w:kern w:val="1"/>
          <w:sz w:val="32"/>
          <w:szCs w:val="32"/>
        </w:rPr>
      </w:pPr>
    </w:p>
    <w:p w:rsidR="006D2A3E" w:rsidRPr="00562AA9" w:rsidRDefault="006D2A3E" w:rsidP="00C30080">
      <w:pPr>
        <w:spacing w:beforeLines="50" w:afterLines="50"/>
        <w:ind w:firstLineChars="50" w:firstLine="160"/>
        <w:jc w:val="right"/>
        <w:rPr>
          <w:rFonts w:ascii="宋体"/>
          <w:kern w:val="1"/>
          <w:sz w:val="32"/>
          <w:szCs w:val="32"/>
        </w:rPr>
      </w:pPr>
      <w:r w:rsidRPr="00562AA9">
        <w:rPr>
          <w:rFonts w:ascii="宋体" w:hAnsi="宋体" w:hint="eastAsia"/>
          <w:kern w:val="1"/>
          <w:sz w:val="32"/>
          <w:szCs w:val="32"/>
        </w:rPr>
        <w:t>麻阳苗族自治县花灯戏剧团</w:t>
      </w:r>
    </w:p>
    <w:p w:rsidR="006D2A3E" w:rsidRPr="00562AA9" w:rsidRDefault="006D2A3E" w:rsidP="00C30080">
      <w:pPr>
        <w:spacing w:beforeLines="50" w:afterLines="50"/>
        <w:ind w:firstLine="5120"/>
        <w:rPr>
          <w:rFonts w:ascii="宋体"/>
          <w:kern w:val="1"/>
          <w:sz w:val="32"/>
          <w:szCs w:val="32"/>
        </w:rPr>
      </w:pPr>
      <w:smartTag w:uri="urn:schemas-microsoft-com:office:smarttags" w:element="chsdate">
        <w:smartTagPr>
          <w:attr w:name="IsROCDate" w:val="False"/>
          <w:attr w:name="IsLunarDate" w:val="False"/>
          <w:attr w:name="Day" w:val="10"/>
          <w:attr w:name="Month" w:val="5"/>
          <w:attr w:name="Year" w:val="2022"/>
        </w:smartTagPr>
        <w:r w:rsidRPr="00562AA9">
          <w:rPr>
            <w:rFonts w:ascii="宋体" w:hAnsi="宋体"/>
            <w:kern w:val="1"/>
            <w:sz w:val="32"/>
            <w:szCs w:val="32"/>
          </w:rPr>
          <w:t>20</w:t>
        </w:r>
        <w:r>
          <w:rPr>
            <w:rFonts w:ascii="宋体" w:hAnsi="宋体"/>
            <w:kern w:val="1"/>
            <w:sz w:val="32"/>
            <w:szCs w:val="32"/>
          </w:rPr>
          <w:t>22</w:t>
        </w:r>
        <w:r w:rsidRPr="00562AA9">
          <w:rPr>
            <w:rFonts w:ascii="宋体" w:hAnsi="宋体" w:hint="eastAsia"/>
            <w:kern w:val="1"/>
            <w:sz w:val="32"/>
            <w:szCs w:val="32"/>
          </w:rPr>
          <w:t>年</w:t>
        </w:r>
        <w:r>
          <w:rPr>
            <w:rFonts w:ascii="宋体" w:hAnsi="宋体"/>
            <w:kern w:val="1"/>
            <w:sz w:val="32"/>
            <w:szCs w:val="32"/>
          </w:rPr>
          <w:t>5</w:t>
        </w:r>
        <w:r w:rsidRPr="00562AA9">
          <w:rPr>
            <w:rFonts w:ascii="宋体" w:hAnsi="宋体" w:hint="eastAsia"/>
            <w:kern w:val="1"/>
            <w:sz w:val="32"/>
            <w:szCs w:val="32"/>
          </w:rPr>
          <w:t>月</w:t>
        </w:r>
        <w:r>
          <w:rPr>
            <w:rFonts w:ascii="宋体" w:hAnsi="宋体"/>
            <w:kern w:val="1"/>
            <w:sz w:val="32"/>
            <w:szCs w:val="32"/>
          </w:rPr>
          <w:t>10</w:t>
        </w:r>
        <w:r w:rsidRPr="00562AA9">
          <w:rPr>
            <w:rFonts w:ascii="宋体" w:hAnsi="宋体" w:hint="eastAsia"/>
            <w:kern w:val="1"/>
            <w:sz w:val="32"/>
            <w:szCs w:val="32"/>
          </w:rPr>
          <w:t>日</w:t>
        </w:r>
      </w:smartTag>
    </w:p>
    <w:p w:rsidR="006D2A3E" w:rsidRDefault="006D2A3E"/>
    <w:sectPr w:rsidR="006D2A3E" w:rsidSect="005C61AA">
      <w:headerReference w:type="default" r:id="rId7"/>
      <w:footerReference w:type="default" r:id="rId8"/>
      <w:pgSz w:w="11906" w:h="16838"/>
      <w:pgMar w:top="1440" w:right="1800" w:bottom="1440" w:left="1800"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A3E" w:rsidRDefault="006D2A3E" w:rsidP="005C61AA">
      <w:r>
        <w:separator/>
      </w:r>
    </w:p>
  </w:endnote>
  <w:endnote w:type="continuationSeparator" w:id="0">
    <w:p w:rsidR="006D2A3E" w:rsidRDefault="006D2A3E" w:rsidP="005C6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3E" w:rsidRDefault="006D2A3E">
    <w:pPr>
      <w:pStyle w:val="Footer"/>
      <w:framePr w:wrap="around" w:vAnchor="text" w:hAnchor="page" w:x="9926" w:y="1"/>
    </w:pPr>
    <w:fldSimple w:instr=" PAGE \* Arabic ">
      <w:r>
        <w:rPr>
          <w:noProof/>
        </w:rPr>
        <w:t>3</w:t>
      </w:r>
    </w:fldSimple>
  </w:p>
  <w:p w:rsidR="006D2A3E" w:rsidRDefault="006D2A3E">
    <w:pPr>
      <w:pStyle w:val="Footer"/>
      <w:tabs>
        <w:tab w:val="clear" w:pos="8305"/>
        <w:tab w:val="right" w:pos="794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A3E" w:rsidRDefault="006D2A3E" w:rsidP="005C61AA">
      <w:r>
        <w:separator/>
      </w:r>
    </w:p>
  </w:footnote>
  <w:footnote w:type="continuationSeparator" w:id="0">
    <w:p w:rsidR="006D2A3E" w:rsidRDefault="006D2A3E" w:rsidP="005C6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3E" w:rsidRDefault="006D2A3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EFD7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43AE97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044726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B5A23A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84CEB5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F763BD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81E82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4A28C8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D961B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5C4A4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9BC4873"/>
    <w:rsid w:val="00003BAA"/>
    <w:rsid w:val="0000717C"/>
    <w:rsid w:val="00020783"/>
    <w:rsid w:val="000473AC"/>
    <w:rsid w:val="001C4C42"/>
    <w:rsid w:val="00206219"/>
    <w:rsid w:val="00213C92"/>
    <w:rsid w:val="00272013"/>
    <w:rsid w:val="00285AAF"/>
    <w:rsid w:val="002C7821"/>
    <w:rsid w:val="002D5EA9"/>
    <w:rsid w:val="002D6C15"/>
    <w:rsid w:val="0031223E"/>
    <w:rsid w:val="003A2B2D"/>
    <w:rsid w:val="003A5852"/>
    <w:rsid w:val="00405101"/>
    <w:rsid w:val="00425141"/>
    <w:rsid w:val="00434F8D"/>
    <w:rsid w:val="0044410B"/>
    <w:rsid w:val="004533FB"/>
    <w:rsid w:val="0046384C"/>
    <w:rsid w:val="004C09BC"/>
    <w:rsid w:val="00562AA9"/>
    <w:rsid w:val="005B5383"/>
    <w:rsid w:val="005C61AA"/>
    <w:rsid w:val="005E19F5"/>
    <w:rsid w:val="005F706E"/>
    <w:rsid w:val="00622D86"/>
    <w:rsid w:val="006D2A3E"/>
    <w:rsid w:val="006F2402"/>
    <w:rsid w:val="00787E12"/>
    <w:rsid w:val="007D21A6"/>
    <w:rsid w:val="007F4340"/>
    <w:rsid w:val="00801C80"/>
    <w:rsid w:val="008072EF"/>
    <w:rsid w:val="008667DD"/>
    <w:rsid w:val="00873DD1"/>
    <w:rsid w:val="008A633B"/>
    <w:rsid w:val="008E4F4D"/>
    <w:rsid w:val="0090747B"/>
    <w:rsid w:val="00917593"/>
    <w:rsid w:val="0092398F"/>
    <w:rsid w:val="00A0624D"/>
    <w:rsid w:val="00A11B60"/>
    <w:rsid w:val="00A336BF"/>
    <w:rsid w:val="00AB4169"/>
    <w:rsid w:val="00AF3240"/>
    <w:rsid w:val="00B547E4"/>
    <w:rsid w:val="00C30080"/>
    <w:rsid w:val="00CB4276"/>
    <w:rsid w:val="00D035AA"/>
    <w:rsid w:val="00D9124E"/>
    <w:rsid w:val="00DF29EC"/>
    <w:rsid w:val="00E10B72"/>
    <w:rsid w:val="00EB75B7"/>
    <w:rsid w:val="00FF2190"/>
    <w:rsid w:val="021E7BF3"/>
    <w:rsid w:val="19BC4873"/>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61AA"/>
    <w:pPr>
      <w:widowControl w:val="0"/>
      <w:jc w:val="both"/>
    </w:pPr>
    <w:rPr>
      <w:rFonts w:ascii="Times New Roman" w:hAnsi="Times New Roman"/>
      <w:color w:val="000000"/>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61AA"/>
    <w:pPr>
      <w:tabs>
        <w:tab w:val="center" w:pos="4153"/>
        <w:tab w:val="right" w:pos="8305"/>
      </w:tabs>
      <w:jc w:val="left"/>
    </w:pPr>
    <w:rPr>
      <w:kern w:val="1"/>
      <w:sz w:val="18"/>
      <w:szCs w:val="18"/>
    </w:rPr>
  </w:style>
  <w:style w:type="character" w:customStyle="1" w:styleId="FooterChar">
    <w:name w:val="Footer Char"/>
    <w:basedOn w:val="DefaultParagraphFont"/>
    <w:link w:val="Footer"/>
    <w:uiPriority w:val="99"/>
    <w:semiHidden/>
    <w:locked/>
    <w:rsid w:val="00434F8D"/>
    <w:rPr>
      <w:rFonts w:ascii="Times New Roman" w:hAnsi="Times New Roman" w:cs="Times New Roman"/>
      <w:color w:val="000000"/>
      <w:kern w:val="0"/>
      <w:sz w:val="18"/>
      <w:szCs w:val="18"/>
    </w:rPr>
  </w:style>
  <w:style w:type="paragraph" w:styleId="Header">
    <w:name w:val="header"/>
    <w:basedOn w:val="Normal"/>
    <w:link w:val="HeaderChar"/>
    <w:uiPriority w:val="99"/>
    <w:rsid w:val="005C61AA"/>
    <w:pPr>
      <w:pBdr>
        <w:bottom w:val="single" w:sz="6" w:space="1" w:color="000000"/>
      </w:pBdr>
      <w:tabs>
        <w:tab w:val="center" w:pos="4153"/>
        <w:tab w:val="right" w:pos="8305"/>
      </w:tabs>
      <w:jc w:val="center"/>
    </w:pPr>
    <w:rPr>
      <w:kern w:val="1"/>
      <w:sz w:val="18"/>
      <w:szCs w:val="18"/>
    </w:rPr>
  </w:style>
  <w:style w:type="character" w:customStyle="1" w:styleId="HeaderChar">
    <w:name w:val="Header Char"/>
    <w:basedOn w:val="DefaultParagraphFont"/>
    <w:link w:val="Header"/>
    <w:uiPriority w:val="99"/>
    <w:semiHidden/>
    <w:locked/>
    <w:rsid w:val="00434F8D"/>
    <w:rPr>
      <w:rFonts w:ascii="Times New Roman" w:hAnsi="Times New Roman" w:cs="Times New Roman"/>
      <w:color w:val="000000"/>
      <w:kern w:val="0"/>
      <w:sz w:val="18"/>
      <w:szCs w:val="18"/>
    </w:rPr>
  </w:style>
  <w:style w:type="paragraph" w:styleId="PlainText">
    <w:name w:val="Plain Text"/>
    <w:basedOn w:val="Normal"/>
    <w:link w:val="PlainTextChar"/>
    <w:uiPriority w:val="99"/>
    <w:rsid w:val="00562AA9"/>
    <w:rPr>
      <w:rFonts w:ascii="宋体" w:hAnsi="Courier New" w:cs="Courier New"/>
      <w:color w:val="auto"/>
      <w:kern w:val="2"/>
      <w:szCs w:val="21"/>
    </w:rPr>
  </w:style>
  <w:style w:type="character" w:customStyle="1" w:styleId="PlainTextChar">
    <w:name w:val="Plain Text Char"/>
    <w:basedOn w:val="DefaultParagraphFont"/>
    <w:link w:val="PlainText"/>
    <w:uiPriority w:val="99"/>
    <w:locked/>
    <w:rsid w:val="00562AA9"/>
    <w:rPr>
      <w:rFonts w:ascii="宋体" w:hAnsi="Courier New" w:cs="Courier New"/>
      <w:kern w:val="2"/>
      <w:sz w:val="21"/>
      <w:szCs w:val="21"/>
    </w:rPr>
  </w:style>
  <w:style w:type="paragraph" w:styleId="BalloonText">
    <w:name w:val="Balloon Text"/>
    <w:basedOn w:val="Normal"/>
    <w:link w:val="BalloonTextChar"/>
    <w:uiPriority w:val="99"/>
    <w:semiHidden/>
    <w:locked/>
    <w:rsid w:val="0000717C"/>
    <w:rPr>
      <w:sz w:val="18"/>
      <w:szCs w:val="18"/>
    </w:rPr>
  </w:style>
  <w:style w:type="character" w:customStyle="1" w:styleId="BalloonTextChar">
    <w:name w:val="Balloon Text Char"/>
    <w:basedOn w:val="DefaultParagraphFont"/>
    <w:link w:val="BalloonText"/>
    <w:uiPriority w:val="99"/>
    <w:semiHidden/>
    <w:locked/>
    <w:rsid w:val="007D21A6"/>
    <w:rPr>
      <w:rFonts w:ascii="Times New Roman" w:hAnsi="Times New Roman" w:cs="Times New Roman"/>
      <w:color w:val="000000"/>
      <w:kern w:val="0"/>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182</TotalTime>
  <Pages>3</Pages>
  <Words>223</Words>
  <Characters>1272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18</cp:revision>
  <cp:lastPrinted>2021-06-16T08:39:00Z</cp:lastPrinted>
  <dcterms:created xsi:type="dcterms:W3CDTF">2018-11-30T01:34:00Z</dcterms:created>
  <dcterms:modified xsi:type="dcterms:W3CDTF">2022-05-09T08:08:00Z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