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880" w:firstLineChars="200"/>
        <w:jc w:val="center"/>
        <w:rPr>
          <w:rFonts w:hint="eastAsia" w:ascii="宋体" w:hAnsi="宋体" w:eastAsia="宋体" w:cs="宋体"/>
          <w:sz w:val="44"/>
          <w:szCs w:val="44"/>
        </w:rPr>
      </w:pPr>
      <w:r>
        <w:rPr>
          <w:rFonts w:hint="eastAsia" w:ascii="宋体" w:hAnsi="宋体" w:cs="宋体"/>
          <w:sz w:val="44"/>
          <w:szCs w:val="44"/>
          <w:lang w:eastAsia="zh-CN"/>
        </w:rPr>
        <w:t>交通管理中心</w:t>
      </w:r>
      <w:r>
        <w:rPr>
          <w:rFonts w:hint="eastAsia" w:ascii="宋体" w:hAnsi="宋体" w:eastAsia="宋体" w:cs="宋体"/>
          <w:sz w:val="44"/>
          <w:szCs w:val="44"/>
        </w:rPr>
        <w:t>20</w:t>
      </w:r>
      <w:r>
        <w:rPr>
          <w:rFonts w:hint="eastAsia" w:ascii="宋体" w:hAnsi="宋体" w:eastAsia="宋体" w:cs="宋体"/>
          <w:sz w:val="44"/>
          <w:szCs w:val="44"/>
          <w:lang w:val="en-US" w:eastAsia="zh-CN"/>
        </w:rPr>
        <w:t>2</w:t>
      </w:r>
      <w:r>
        <w:rPr>
          <w:rFonts w:hint="eastAsia" w:ascii="宋体" w:hAnsi="宋体" w:cs="宋体"/>
          <w:sz w:val="44"/>
          <w:szCs w:val="44"/>
          <w:lang w:val="en-US" w:eastAsia="zh-CN"/>
        </w:rPr>
        <w:t>1</w:t>
      </w:r>
      <w:r>
        <w:rPr>
          <w:rFonts w:hint="eastAsia" w:ascii="宋体" w:hAnsi="宋体" w:eastAsia="宋体" w:cs="宋体"/>
          <w:sz w:val="44"/>
          <w:szCs w:val="44"/>
        </w:rPr>
        <w:t>年</w:t>
      </w:r>
      <w:r>
        <w:rPr>
          <w:rFonts w:hint="eastAsia" w:ascii="宋体" w:hAnsi="宋体" w:cs="宋体"/>
          <w:sz w:val="44"/>
          <w:szCs w:val="44"/>
          <w:lang w:eastAsia="zh-CN"/>
        </w:rPr>
        <w:t>度</w:t>
      </w:r>
      <w:r>
        <w:rPr>
          <w:rFonts w:hint="eastAsia" w:ascii="宋体" w:hAnsi="宋体" w:eastAsia="宋体" w:cs="宋体"/>
          <w:sz w:val="44"/>
          <w:szCs w:val="44"/>
        </w:rPr>
        <w:t>绩效自评报告</w:t>
      </w:r>
    </w:p>
    <w:p>
      <w:pPr>
        <w:spacing w:line="240" w:lineRule="atLeast"/>
        <w:ind w:firstLine="600" w:firstLineChars="200"/>
        <w:rPr>
          <w:rFonts w:hint="eastAsia" w:ascii="宋体" w:hAnsi="宋体" w:eastAsia="宋体" w:cs="宋体"/>
          <w:sz w:val="30"/>
          <w:szCs w:val="30"/>
        </w:rPr>
      </w:pPr>
    </w:p>
    <w:p>
      <w:pPr>
        <w:spacing w:line="240" w:lineRule="atLeas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一、机构编制人员情况</w:t>
      </w:r>
    </w:p>
    <w:p>
      <w:pPr>
        <w:widowControl/>
        <w:spacing w:line="500" w:lineRule="exact"/>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zh-CN"/>
        </w:rPr>
        <w:t>麻阳苗族自治县公安局交通管理中心为行政全额拨款单位。内设办办公室、处罚中心、车管所、计财装备股、法制股、交管股等六个职能股室，下设</w:t>
      </w:r>
      <w:r>
        <w:rPr>
          <w:rFonts w:hint="eastAsia" w:ascii="宋体" w:hAnsi="宋体" w:eastAsia="宋体" w:cs="宋体"/>
          <w:color w:val="000000"/>
          <w:kern w:val="0"/>
          <w:sz w:val="32"/>
          <w:szCs w:val="32"/>
          <w:lang w:val="en-US" w:eastAsia="zh-CN"/>
        </w:rPr>
        <w:t>六个</w:t>
      </w:r>
      <w:r>
        <w:rPr>
          <w:rFonts w:hint="eastAsia" w:ascii="宋体" w:hAnsi="宋体" w:eastAsia="宋体" w:cs="宋体"/>
          <w:color w:val="000000"/>
          <w:kern w:val="0"/>
          <w:sz w:val="32"/>
          <w:szCs w:val="32"/>
          <w:lang w:val="zh-CN"/>
        </w:rPr>
        <w:t>中队</w:t>
      </w:r>
      <w:r>
        <w:rPr>
          <w:rFonts w:hint="eastAsia" w:ascii="宋体" w:hAnsi="宋体" w:eastAsia="宋体" w:cs="宋体"/>
          <w:color w:val="auto"/>
          <w:kern w:val="0"/>
          <w:sz w:val="32"/>
          <w:szCs w:val="32"/>
          <w:highlight w:val="none"/>
          <w:lang w:val="zh-CN"/>
        </w:rPr>
        <w:t>（</w:t>
      </w:r>
      <w:r>
        <w:rPr>
          <w:rFonts w:hint="eastAsia" w:ascii="宋体" w:hAnsi="宋体" w:eastAsia="宋体" w:cs="宋体"/>
          <w:color w:val="auto"/>
          <w:kern w:val="0"/>
          <w:sz w:val="32"/>
          <w:szCs w:val="32"/>
          <w:highlight w:val="none"/>
          <w:lang w:val="zh-CN" w:eastAsia="zh-CN"/>
        </w:rPr>
        <w:t>一中队、二中队、三中队、四中队、五中队、事故中队</w:t>
      </w:r>
      <w:r>
        <w:rPr>
          <w:rFonts w:hint="eastAsia" w:ascii="宋体" w:hAnsi="宋体" w:eastAsia="宋体" w:cs="宋体"/>
          <w:color w:val="auto"/>
          <w:kern w:val="0"/>
          <w:sz w:val="32"/>
          <w:szCs w:val="32"/>
          <w:highlight w:val="none"/>
          <w:lang w:val="zh-CN"/>
        </w:rPr>
        <w:t>）。</w:t>
      </w:r>
      <w:r>
        <w:rPr>
          <w:rFonts w:hint="eastAsia" w:ascii="宋体" w:hAnsi="宋体" w:eastAsia="宋体" w:cs="宋体"/>
          <w:color w:val="000000"/>
          <w:kern w:val="0"/>
          <w:sz w:val="32"/>
          <w:szCs w:val="32"/>
        </w:rPr>
        <w:t>麻阳交通管理中心财政</w:t>
      </w:r>
      <w:r>
        <w:rPr>
          <w:rFonts w:hint="eastAsia" w:ascii="宋体" w:hAnsi="宋体" w:eastAsia="宋体" w:cs="宋体"/>
          <w:color w:val="000000"/>
          <w:kern w:val="0"/>
          <w:sz w:val="32"/>
          <w:szCs w:val="32"/>
          <w:lang w:val="zh-CN"/>
        </w:rPr>
        <w:t>核定编制27人，行政编25人，退休人员5人。截止202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val="zh-CN"/>
        </w:rPr>
        <w:t>年12月底，实有人数</w:t>
      </w:r>
      <w:r>
        <w:rPr>
          <w:rFonts w:hint="eastAsia" w:ascii="宋体" w:hAnsi="宋体" w:eastAsia="宋体" w:cs="宋体"/>
          <w:color w:val="000000"/>
          <w:kern w:val="0"/>
          <w:sz w:val="32"/>
          <w:szCs w:val="32"/>
          <w:lang w:val="en-US" w:eastAsia="zh-CN"/>
        </w:rPr>
        <w:t>139</w:t>
      </w:r>
      <w:r>
        <w:rPr>
          <w:rFonts w:hint="eastAsia" w:ascii="宋体" w:hAnsi="宋体" w:eastAsia="宋体" w:cs="宋体"/>
          <w:color w:val="000000"/>
          <w:kern w:val="0"/>
          <w:sz w:val="32"/>
          <w:szCs w:val="32"/>
          <w:lang w:val="zh-CN"/>
        </w:rPr>
        <w:t>人，其中在职32人，协警</w:t>
      </w:r>
      <w:r>
        <w:rPr>
          <w:rFonts w:hint="eastAsia" w:ascii="宋体" w:hAnsi="宋体" w:eastAsia="宋体" w:cs="宋体"/>
          <w:color w:val="000000"/>
          <w:kern w:val="0"/>
          <w:sz w:val="32"/>
          <w:szCs w:val="32"/>
          <w:lang w:val="en-US" w:eastAsia="zh-CN"/>
        </w:rPr>
        <w:t>107</w:t>
      </w:r>
      <w:r>
        <w:rPr>
          <w:rFonts w:hint="eastAsia" w:ascii="宋体" w:hAnsi="宋体" w:eastAsia="宋体" w:cs="宋体"/>
          <w:color w:val="000000"/>
          <w:kern w:val="0"/>
          <w:sz w:val="32"/>
          <w:szCs w:val="32"/>
          <w:lang w:val="zh-CN"/>
        </w:rPr>
        <w:t>人。</w:t>
      </w:r>
    </w:p>
    <w:p>
      <w:pPr>
        <w:spacing w:line="460" w:lineRule="exact"/>
        <w:ind w:firstLine="640" w:firstLineChars="200"/>
        <w:rPr>
          <w:rFonts w:hint="eastAsia" w:ascii="宋体" w:hAnsi="宋体" w:eastAsia="宋体" w:cs="宋体"/>
          <w:color w:val="000000"/>
          <w:kern w:val="0"/>
          <w:sz w:val="32"/>
          <w:szCs w:val="32"/>
          <w:lang w:val="en-US" w:eastAsia="zh-CN"/>
        </w:rPr>
      </w:pPr>
    </w:p>
    <w:p>
      <w:pPr>
        <w:pStyle w:val="21"/>
        <w:numPr>
          <w:ilvl w:val="0"/>
          <w:numId w:val="1"/>
        </w:numPr>
        <w:spacing w:line="240" w:lineRule="atLeast"/>
        <w:ind w:firstLineChars="0"/>
        <w:rPr>
          <w:rFonts w:hint="eastAsia" w:ascii="宋体" w:hAnsi="宋体" w:eastAsia="宋体" w:cs="宋体"/>
          <w:b/>
          <w:bCs/>
          <w:sz w:val="32"/>
          <w:szCs w:val="32"/>
        </w:rPr>
      </w:pPr>
      <w:r>
        <w:rPr>
          <w:rFonts w:hint="eastAsia" w:ascii="宋体" w:hAnsi="宋体" w:eastAsia="宋体" w:cs="宋体"/>
          <w:b/>
          <w:bCs/>
          <w:sz w:val="32"/>
          <w:szCs w:val="32"/>
        </w:rPr>
        <w:t>单位主要职能与年度绩效目标</w:t>
      </w:r>
    </w:p>
    <w:p>
      <w:pPr>
        <w:ind w:firstLine="643"/>
        <w:rPr>
          <w:rFonts w:hint="eastAsia" w:ascii="宋体" w:hAnsi="宋体" w:eastAsia="宋体" w:cs="宋体"/>
          <w:sz w:val="32"/>
          <w:szCs w:val="32"/>
        </w:rPr>
      </w:pPr>
      <w:r>
        <w:rPr>
          <w:rFonts w:hint="eastAsia" w:ascii="宋体" w:hAnsi="宋体" w:eastAsia="宋体" w:cs="宋体"/>
          <w:sz w:val="32"/>
          <w:szCs w:val="32"/>
        </w:rPr>
        <w:t>1、大力开展安全宣传教育</w:t>
      </w:r>
    </w:p>
    <w:p>
      <w:pPr>
        <w:ind w:firstLine="643"/>
        <w:rPr>
          <w:rFonts w:hint="eastAsia" w:ascii="宋体" w:hAnsi="宋体" w:eastAsia="宋体" w:cs="宋体"/>
          <w:sz w:val="32"/>
          <w:szCs w:val="32"/>
        </w:rPr>
      </w:pPr>
      <w:r>
        <w:rPr>
          <w:rFonts w:hint="eastAsia" w:ascii="宋体" w:hAnsi="宋体" w:eastAsia="宋体" w:cs="宋体"/>
          <w:sz w:val="32"/>
          <w:szCs w:val="32"/>
        </w:rPr>
        <w:t>2、大力开展交通违法整治</w:t>
      </w:r>
    </w:p>
    <w:p>
      <w:pPr>
        <w:ind w:firstLine="643"/>
        <w:rPr>
          <w:rFonts w:hint="eastAsia" w:ascii="宋体" w:hAnsi="宋体" w:eastAsia="宋体" w:cs="宋体"/>
          <w:sz w:val="32"/>
          <w:szCs w:val="32"/>
        </w:rPr>
      </w:pPr>
      <w:r>
        <w:rPr>
          <w:rFonts w:hint="eastAsia" w:ascii="宋体" w:hAnsi="宋体" w:eastAsia="宋体" w:cs="宋体"/>
          <w:sz w:val="32"/>
          <w:szCs w:val="32"/>
        </w:rPr>
        <w:t>3、大力开展交通安全隐患排查</w:t>
      </w:r>
    </w:p>
    <w:p>
      <w:pPr>
        <w:ind w:firstLine="643"/>
        <w:rPr>
          <w:rFonts w:hint="eastAsia" w:ascii="宋体" w:hAnsi="宋体" w:eastAsia="宋体" w:cs="宋体"/>
          <w:sz w:val="32"/>
          <w:szCs w:val="32"/>
        </w:rPr>
      </w:pPr>
      <w:r>
        <w:rPr>
          <w:rFonts w:hint="eastAsia" w:ascii="宋体" w:hAnsi="宋体" w:eastAsia="宋体" w:cs="宋体"/>
          <w:sz w:val="32"/>
          <w:szCs w:val="32"/>
        </w:rPr>
        <w:t>4、大力开展放管服工作</w:t>
      </w:r>
    </w:p>
    <w:p>
      <w:pPr>
        <w:ind w:firstLine="643"/>
        <w:rPr>
          <w:rFonts w:hint="eastAsia" w:ascii="宋体" w:hAnsi="宋体" w:eastAsia="宋体" w:cs="宋体"/>
          <w:sz w:val="32"/>
          <w:szCs w:val="32"/>
        </w:rPr>
      </w:pPr>
      <w:r>
        <w:rPr>
          <w:rFonts w:hint="eastAsia" w:ascii="宋体" w:hAnsi="宋体" w:eastAsia="宋体" w:cs="宋体"/>
          <w:sz w:val="32"/>
          <w:szCs w:val="32"/>
        </w:rPr>
        <w:t>5、大力开展事故处理工作</w:t>
      </w:r>
    </w:p>
    <w:p>
      <w:pPr>
        <w:rPr>
          <w:rFonts w:hint="eastAsia" w:ascii="宋体" w:hAnsi="宋体" w:eastAsia="宋体" w:cs="宋体"/>
          <w:sz w:val="32"/>
          <w:szCs w:val="32"/>
        </w:rPr>
      </w:pPr>
    </w:p>
    <w:p>
      <w:pPr>
        <w:spacing w:line="240" w:lineRule="atLeast"/>
        <w:ind w:firstLine="640" w:firstLineChars="200"/>
        <w:rPr>
          <w:rFonts w:hint="eastAsia" w:ascii="宋体" w:hAnsi="宋体" w:eastAsia="宋体" w:cs="宋体"/>
          <w:b/>
          <w:bCs/>
          <w:sz w:val="32"/>
          <w:szCs w:val="32"/>
        </w:rPr>
      </w:pPr>
      <w:r>
        <w:rPr>
          <w:rFonts w:hint="eastAsia" w:ascii="宋体" w:hAnsi="宋体" w:eastAsia="宋体" w:cs="宋体"/>
          <w:sz w:val="32"/>
          <w:szCs w:val="32"/>
        </w:rPr>
        <w:t>三</w:t>
      </w:r>
      <w:r>
        <w:rPr>
          <w:rFonts w:hint="eastAsia" w:ascii="宋体" w:hAnsi="宋体" w:eastAsia="宋体" w:cs="宋体"/>
          <w:b/>
          <w:bCs/>
          <w:sz w:val="32"/>
          <w:szCs w:val="32"/>
        </w:rPr>
        <w:t>、20</w:t>
      </w:r>
      <w:r>
        <w:rPr>
          <w:rFonts w:hint="eastAsia" w:ascii="宋体" w:hAnsi="宋体" w:eastAsia="宋体" w:cs="宋体"/>
          <w:b/>
          <w:bCs/>
          <w:sz w:val="32"/>
          <w:szCs w:val="32"/>
          <w:lang w:val="en-US" w:eastAsia="zh-CN"/>
        </w:rPr>
        <w:t>21</w:t>
      </w:r>
      <w:r>
        <w:rPr>
          <w:rFonts w:hint="eastAsia" w:ascii="宋体" w:hAnsi="宋体" w:eastAsia="宋体" w:cs="宋体"/>
          <w:b/>
          <w:bCs/>
          <w:sz w:val="32"/>
          <w:szCs w:val="32"/>
        </w:rPr>
        <w:t>年度整体绩效支出及管理情况</w:t>
      </w:r>
    </w:p>
    <w:p>
      <w:pPr>
        <w:spacing w:before="156" w:beforeLines="50" w:after="156" w:afterLines="50" w:line="360" w:lineRule="auto"/>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1．收入支出</w:t>
      </w:r>
      <w:r>
        <w:rPr>
          <w:rFonts w:hint="eastAsia" w:ascii="宋体" w:hAnsi="宋体" w:eastAsia="宋体" w:cs="宋体"/>
          <w:b w:val="0"/>
          <w:bCs/>
          <w:sz w:val="32"/>
          <w:szCs w:val="32"/>
          <w:lang w:eastAsia="zh-CN"/>
        </w:rPr>
        <w:t>结构</w:t>
      </w:r>
      <w:r>
        <w:rPr>
          <w:rFonts w:hint="eastAsia" w:ascii="宋体" w:hAnsi="宋体" w:eastAsia="宋体" w:cs="宋体"/>
          <w:b w:val="0"/>
          <w:bCs/>
          <w:sz w:val="32"/>
          <w:szCs w:val="32"/>
        </w:rPr>
        <w:t>分析。</w:t>
      </w:r>
    </w:p>
    <w:p>
      <w:pPr>
        <w:snapToGrid w:val="0"/>
        <w:spacing w:line="520" w:lineRule="exact"/>
        <w:ind w:firstLine="640" w:firstLineChars="200"/>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val="zh-CN"/>
        </w:rPr>
        <w:t>年度决算收入为</w:t>
      </w:r>
      <w:r>
        <w:rPr>
          <w:rFonts w:hint="eastAsia" w:ascii="宋体" w:hAnsi="宋体" w:eastAsia="宋体" w:cs="宋体"/>
          <w:color w:val="000000"/>
          <w:kern w:val="0"/>
          <w:sz w:val="32"/>
          <w:szCs w:val="32"/>
          <w:lang w:val="en-US" w:eastAsia="zh-CN"/>
        </w:rPr>
        <w:t>1257.47</w:t>
      </w:r>
      <w:r>
        <w:rPr>
          <w:rFonts w:hint="eastAsia" w:ascii="宋体" w:hAnsi="宋体" w:eastAsia="宋体" w:cs="宋体"/>
          <w:color w:val="000000"/>
          <w:kern w:val="0"/>
          <w:sz w:val="32"/>
          <w:szCs w:val="32"/>
          <w:lang w:val="zh-CN"/>
        </w:rPr>
        <w:t>万元，其中公共安全支出收入为</w:t>
      </w:r>
      <w:r>
        <w:rPr>
          <w:rFonts w:hint="eastAsia" w:ascii="宋体" w:hAnsi="宋体" w:eastAsia="宋体" w:cs="宋体"/>
          <w:color w:val="000000"/>
          <w:kern w:val="0"/>
          <w:sz w:val="32"/>
          <w:szCs w:val="32"/>
          <w:lang w:val="en-US" w:eastAsia="zh-CN"/>
        </w:rPr>
        <w:t>1163.49</w:t>
      </w:r>
      <w:r>
        <w:rPr>
          <w:rFonts w:hint="eastAsia" w:ascii="宋体" w:hAnsi="宋体" w:eastAsia="宋体" w:cs="宋体"/>
          <w:color w:val="000000"/>
          <w:kern w:val="0"/>
          <w:sz w:val="32"/>
          <w:szCs w:val="32"/>
          <w:lang w:val="zh-CN"/>
        </w:rPr>
        <w:t>万元，占总收入9</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val="zh-CN"/>
        </w:rPr>
        <w:t>%；社会保障和就业支出收入为</w:t>
      </w:r>
      <w:r>
        <w:rPr>
          <w:rFonts w:hint="eastAsia" w:ascii="宋体" w:hAnsi="宋体" w:eastAsia="宋体" w:cs="宋体"/>
          <w:color w:val="000000"/>
          <w:kern w:val="0"/>
          <w:sz w:val="32"/>
          <w:szCs w:val="32"/>
          <w:lang w:val="en-US" w:eastAsia="zh-CN"/>
        </w:rPr>
        <w:t>45.37</w:t>
      </w:r>
      <w:r>
        <w:rPr>
          <w:rFonts w:hint="eastAsia" w:ascii="宋体" w:hAnsi="宋体" w:eastAsia="宋体" w:cs="宋体"/>
          <w:color w:val="000000"/>
          <w:kern w:val="0"/>
          <w:sz w:val="32"/>
          <w:szCs w:val="32"/>
          <w:lang w:val="zh-CN"/>
        </w:rPr>
        <w:t>万元，占总收入</w:t>
      </w:r>
      <w:r>
        <w:rPr>
          <w:rFonts w:hint="eastAsia" w:ascii="宋体" w:hAnsi="宋体" w:eastAsia="宋体" w:cs="宋体"/>
          <w:color w:val="000000"/>
          <w:kern w:val="0"/>
          <w:sz w:val="32"/>
          <w:szCs w:val="32"/>
          <w:lang w:val="en-US" w:eastAsia="zh-CN"/>
        </w:rPr>
        <w:t>3.6</w:t>
      </w:r>
      <w:r>
        <w:rPr>
          <w:rFonts w:hint="eastAsia" w:ascii="宋体" w:hAnsi="宋体" w:eastAsia="宋体" w:cs="宋体"/>
          <w:color w:val="000000"/>
          <w:kern w:val="0"/>
          <w:sz w:val="32"/>
          <w:szCs w:val="32"/>
          <w:lang w:val="zh-CN"/>
        </w:rPr>
        <w:t>%；医疗卫生和计划生育支出收入为</w:t>
      </w:r>
      <w:r>
        <w:rPr>
          <w:rFonts w:hint="eastAsia" w:ascii="宋体" w:hAnsi="宋体" w:eastAsia="宋体" w:cs="宋体"/>
          <w:color w:val="000000"/>
          <w:kern w:val="0"/>
          <w:sz w:val="32"/>
          <w:szCs w:val="32"/>
          <w:lang w:val="en-US" w:eastAsia="zh-CN"/>
        </w:rPr>
        <w:t>17.52</w:t>
      </w:r>
      <w:r>
        <w:rPr>
          <w:rFonts w:hint="eastAsia" w:ascii="宋体" w:hAnsi="宋体" w:eastAsia="宋体" w:cs="宋体"/>
          <w:color w:val="000000"/>
          <w:kern w:val="0"/>
          <w:sz w:val="32"/>
          <w:szCs w:val="32"/>
          <w:lang w:val="zh-CN"/>
        </w:rPr>
        <w:t>万元，占总收入</w:t>
      </w:r>
      <w:r>
        <w:rPr>
          <w:rFonts w:hint="eastAsia" w:ascii="宋体" w:hAnsi="宋体" w:eastAsia="宋体" w:cs="宋体"/>
          <w:color w:val="000000"/>
          <w:kern w:val="0"/>
          <w:sz w:val="32"/>
          <w:szCs w:val="32"/>
          <w:lang w:val="en-US" w:eastAsia="zh-CN"/>
        </w:rPr>
        <w:t>1.4</w:t>
      </w:r>
      <w:r>
        <w:rPr>
          <w:rFonts w:hint="eastAsia" w:ascii="宋体" w:hAnsi="宋体" w:eastAsia="宋体" w:cs="宋体"/>
          <w:color w:val="000000"/>
          <w:kern w:val="0"/>
          <w:sz w:val="32"/>
          <w:szCs w:val="32"/>
          <w:lang w:val="zh-CN"/>
        </w:rPr>
        <w:t>%；住房保障支出收入为</w:t>
      </w:r>
      <w:r>
        <w:rPr>
          <w:rFonts w:hint="eastAsia" w:ascii="宋体" w:hAnsi="宋体" w:eastAsia="宋体" w:cs="宋体"/>
          <w:color w:val="000000"/>
          <w:kern w:val="0"/>
          <w:sz w:val="32"/>
          <w:szCs w:val="32"/>
          <w:lang w:val="en-US" w:eastAsia="zh-CN"/>
        </w:rPr>
        <w:t>31.09</w:t>
      </w:r>
      <w:r>
        <w:rPr>
          <w:rFonts w:hint="eastAsia" w:ascii="宋体" w:hAnsi="宋体" w:eastAsia="宋体" w:cs="宋体"/>
          <w:color w:val="000000"/>
          <w:kern w:val="0"/>
          <w:sz w:val="32"/>
          <w:szCs w:val="32"/>
          <w:lang w:val="zh-CN"/>
        </w:rPr>
        <w:t>万元，占总收入</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val="zh-CN"/>
        </w:rPr>
        <w:t>%。</w:t>
      </w:r>
    </w:p>
    <w:p>
      <w:pPr>
        <w:numPr>
          <w:ilvl w:val="0"/>
          <w:numId w:val="2"/>
        </w:numPr>
        <w:spacing w:before="156" w:beforeLines="50" w:after="156" w:afterLines="50" w:line="360" w:lineRule="auto"/>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收入支出结构分析。</w:t>
      </w:r>
    </w:p>
    <w:p>
      <w:pPr>
        <w:numPr>
          <w:ilvl w:val="0"/>
          <w:numId w:val="0"/>
        </w:numPr>
        <w:spacing w:before="156" w:beforeLines="50" w:after="156" w:afterLines="50" w:line="360" w:lineRule="auto"/>
        <w:ind w:firstLine="640" w:firstLineChars="200"/>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val="zh-CN"/>
        </w:rPr>
        <w:t>年度决算支出为为</w:t>
      </w:r>
      <w:r>
        <w:rPr>
          <w:rFonts w:hint="eastAsia" w:ascii="宋体" w:hAnsi="宋体" w:eastAsia="宋体" w:cs="宋体"/>
          <w:color w:val="000000"/>
          <w:kern w:val="0"/>
          <w:sz w:val="32"/>
          <w:szCs w:val="32"/>
          <w:lang w:val="en-US" w:eastAsia="zh-CN"/>
        </w:rPr>
        <w:t>1224.85</w:t>
      </w:r>
      <w:r>
        <w:rPr>
          <w:rFonts w:hint="eastAsia" w:ascii="宋体" w:hAnsi="宋体" w:eastAsia="宋体" w:cs="宋体"/>
          <w:color w:val="000000"/>
          <w:kern w:val="0"/>
          <w:sz w:val="32"/>
          <w:szCs w:val="32"/>
          <w:lang w:val="zh-CN"/>
        </w:rPr>
        <w:t>万元，其中公共安全支出</w:t>
      </w:r>
      <w:r>
        <w:rPr>
          <w:rFonts w:hint="eastAsia" w:ascii="宋体" w:hAnsi="宋体" w:eastAsia="宋体" w:cs="宋体"/>
          <w:color w:val="000000"/>
          <w:kern w:val="0"/>
          <w:sz w:val="32"/>
          <w:szCs w:val="32"/>
          <w:lang w:val="en-US" w:eastAsia="zh-CN"/>
        </w:rPr>
        <w:t>1130.87</w:t>
      </w:r>
      <w:r>
        <w:rPr>
          <w:rFonts w:hint="eastAsia" w:ascii="宋体" w:hAnsi="宋体" w:eastAsia="宋体" w:cs="宋体"/>
          <w:color w:val="000000"/>
          <w:kern w:val="0"/>
          <w:sz w:val="32"/>
          <w:szCs w:val="32"/>
          <w:lang w:val="zh-CN"/>
        </w:rPr>
        <w:t>万元，占总支出</w:t>
      </w:r>
      <w:r>
        <w:rPr>
          <w:rFonts w:hint="eastAsia" w:ascii="宋体" w:hAnsi="宋体" w:eastAsia="宋体" w:cs="宋体"/>
          <w:color w:val="000000"/>
          <w:kern w:val="0"/>
          <w:sz w:val="32"/>
          <w:szCs w:val="32"/>
          <w:lang w:val="en-US" w:eastAsia="zh-CN"/>
        </w:rPr>
        <w:t>92.3</w:t>
      </w:r>
      <w:r>
        <w:rPr>
          <w:rFonts w:hint="eastAsia" w:ascii="宋体" w:hAnsi="宋体" w:eastAsia="宋体" w:cs="宋体"/>
          <w:color w:val="000000"/>
          <w:kern w:val="0"/>
          <w:sz w:val="32"/>
          <w:szCs w:val="32"/>
          <w:lang w:val="zh-CN"/>
        </w:rPr>
        <w:t>%；社会保障和就业支出为</w:t>
      </w:r>
      <w:r>
        <w:rPr>
          <w:rFonts w:hint="eastAsia" w:ascii="宋体" w:hAnsi="宋体" w:eastAsia="宋体" w:cs="宋体"/>
          <w:color w:val="000000"/>
          <w:kern w:val="0"/>
          <w:sz w:val="32"/>
          <w:szCs w:val="32"/>
          <w:lang w:val="en-US" w:eastAsia="zh-CN"/>
        </w:rPr>
        <w:t>45.37</w:t>
      </w:r>
      <w:r>
        <w:rPr>
          <w:rFonts w:hint="eastAsia" w:ascii="宋体" w:hAnsi="宋体" w:eastAsia="宋体" w:cs="宋体"/>
          <w:color w:val="000000"/>
          <w:kern w:val="0"/>
          <w:sz w:val="32"/>
          <w:szCs w:val="32"/>
          <w:lang w:val="zh-CN"/>
        </w:rPr>
        <w:t>万元，占总支出</w:t>
      </w:r>
      <w:r>
        <w:rPr>
          <w:rFonts w:hint="eastAsia" w:ascii="宋体" w:hAnsi="宋体" w:eastAsia="宋体" w:cs="宋体"/>
          <w:color w:val="000000"/>
          <w:kern w:val="0"/>
          <w:sz w:val="32"/>
          <w:szCs w:val="32"/>
          <w:lang w:val="en-US" w:eastAsia="zh-CN"/>
        </w:rPr>
        <w:t>3.7</w:t>
      </w:r>
      <w:r>
        <w:rPr>
          <w:rFonts w:hint="eastAsia" w:ascii="宋体" w:hAnsi="宋体" w:eastAsia="宋体" w:cs="宋体"/>
          <w:color w:val="000000"/>
          <w:kern w:val="0"/>
          <w:sz w:val="32"/>
          <w:szCs w:val="32"/>
          <w:lang w:val="zh-CN"/>
        </w:rPr>
        <w:t>%；医疗卫生和计划生育支出为</w:t>
      </w:r>
      <w:r>
        <w:rPr>
          <w:rFonts w:hint="eastAsia" w:ascii="宋体" w:hAnsi="宋体" w:eastAsia="宋体" w:cs="宋体"/>
          <w:color w:val="000000"/>
          <w:kern w:val="0"/>
          <w:sz w:val="32"/>
          <w:szCs w:val="32"/>
          <w:lang w:val="en-US" w:eastAsia="zh-CN"/>
        </w:rPr>
        <w:t>17.52</w:t>
      </w:r>
      <w:r>
        <w:rPr>
          <w:rFonts w:hint="eastAsia" w:ascii="宋体" w:hAnsi="宋体" w:eastAsia="宋体" w:cs="宋体"/>
          <w:color w:val="000000"/>
          <w:kern w:val="0"/>
          <w:sz w:val="32"/>
          <w:szCs w:val="32"/>
          <w:lang w:val="zh-CN"/>
        </w:rPr>
        <w:t>万元，占总支出</w:t>
      </w:r>
      <w:r>
        <w:rPr>
          <w:rFonts w:hint="eastAsia" w:ascii="宋体" w:hAnsi="宋体" w:eastAsia="宋体" w:cs="宋体"/>
          <w:color w:val="000000"/>
          <w:kern w:val="0"/>
          <w:sz w:val="32"/>
          <w:szCs w:val="32"/>
          <w:lang w:val="en-US" w:eastAsia="zh-CN"/>
        </w:rPr>
        <w:t>1.4</w:t>
      </w:r>
      <w:r>
        <w:rPr>
          <w:rFonts w:hint="eastAsia" w:ascii="宋体" w:hAnsi="宋体" w:eastAsia="宋体" w:cs="宋体"/>
          <w:color w:val="000000"/>
          <w:kern w:val="0"/>
          <w:sz w:val="32"/>
          <w:szCs w:val="32"/>
          <w:lang w:val="zh-CN"/>
        </w:rPr>
        <w:t>%万元，占总支出2.86%；</w:t>
      </w:r>
    </w:p>
    <w:p>
      <w:pPr>
        <w:spacing w:before="156" w:beforeLines="50" w:after="156" w:afterLines="50" w:line="360" w:lineRule="auto"/>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3．支出按经济分类科目分析。</w:t>
      </w:r>
    </w:p>
    <w:p>
      <w:pPr>
        <w:widowControl/>
        <w:spacing w:before="156" w:beforeLines="50" w:after="156" w:afterLines="50" w:line="460" w:lineRule="exact"/>
        <w:ind w:firstLine="640" w:firstLineChars="200"/>
        <w:jc w:val="left"/>
        <w:rPr>
          <w:rFonts w:hint="eastAsia" w:ascii="宋体" w:hAnsi="宋体" w:eastAsia="宋体" w:cs="宋体"/>
          <w:b w:val="0"/>
          <w:bCs/>
          <w:color w:val="000000"/>
          <w:kern w:val="0"/>
          <w:sz w:val="32"/>
          <w:szCs w:val="32"/>
          <w:lang w:val="zh-CN" w:eastAsia="zh-CN"/>
        </w:rPr>
      </w:pPr>
      <w:r>
        <w:rPr>
          <w:rFonts w:hint="eastAsia" w:ascii="宋体" w:hAnsi="宋体" w:eastAsia="宋体" w:cs="宋体"/>
          <w:b w:val="0"/>
          <w:bCs/>
          <w:sz w:val="32"/>
          <w:szCs w:val="32"/>
        </w:rPr>
        <w:t>（</w:t>
      </w:r>
      <w:r>
        <w:rPr>
          <w:rFonts w:hint="eastAsia" w:ascii="宋体" w:hAnsi="宋体" w:eastAsia="宋体" w:cs="宋体"/>
          <w:b w:val="0"/>
          <w:bCs/>
          <w:sz w:val="32"/>
          <w:szCs w:val="32"/>
          <w:lang w:val="en-US" w:eastAsia="zh-CN"/>
        </w:rPr>
        <w:t>1）</w:t>
      </w:r>
      <w:r>
        <w:rPr>
          <w:rFonts w:hint="eastAsia" w:ascii="宋体" w:hAnsi="宋体" w:eastAsia="宋体" w:cs="宋体"/>
          <w:b w:val="0"/>
          <w:bCs/>
          <w:color w:val="000000"/>
          <w:kern w:val="0"/>
          <w:sz w:val="32"/>
          <w:szCs w:val="32"/>
          <w:lang w:val="zh-CN"/>
        </w:rPr>
        <w:t>、“三公”经费</w:t>
      </w:r>
      <w:r>
        <w:rPr>
          <w:rFonts w:hint="eastAsia" w:ascii="宋体" w:hAnsi="宋体" w:eastAsia="宋体" w:cs="宋体"/>
          <w:b w:val="0"/>
          <w:bCs/>
          <w:color w:val="000000"/>
          <w:kern w:val="0"/>
          <w:sz w:val="32"/>
          <w:szCs w:val="32"/>
          <w:lang w:val="zh-CN" w:eastAsia="zh-CN"/>
        </w:rPr>
        <w:t>支出情况</w:t>
      </w:r>
    </w:p>
    <w:p>
      <w:pPr>
        <w:numPr>
          <w:numId w:val="0"/>
        </w:numPr>
        <w:snapToGrid w:val="0"/>
        <w:spacing w:line="520" w:lineRule="exact"/>
        <w:ind w:left="630" w:leftChars="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公务用车运行维护费</w:t>
      </w:r>
      <w:r>
        <w:rPr>
          <w:rFonts w:hint="eastAsia" w:ascii="宋体" w:hAnsi="宋体" w:eastAsia="宋体" w:cs="宋体"/>
          <w:sz w:val="32"/>
          <w:szCs w:val="32"/>
          <w:lang w:val="en-US" w:eastAsia="zh-CN"/>
        </w:rPr>
        <w:t>43.59万元,主要是警车为维修费用、油耗和保险比上年度减少6.03万元，减幅12%</w:t>
      </w:r>
      <w:r>
        <w:rPr>
          <w:rFonts w:hint="eastAsia" w:ascii="宋体" w:hAnsi="宋体" w:eastAsia="宋体" w:cs="宋体"/>
          <w:sz w:val="32"/>
          <w:szCs w:val="32"/>
        </w:rPr>
        <w:t>。</w:t>
      </w:r>
    </w:p>
    <w:p>
      <w:pPr>
        <w:numPr>
          <w:numId w:val="0"/>
        </w:numPr>
        <w:snapToGrid w:val="0"/>
        <w:spacing w:line="520" w:lineRule="exact"/>
        <w:ind w:left="630"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2、公务用车购置20.16万元，增幅100%，因其中两台警车年老维修费用过高、安全隐患大报废两台，后新购两台警车。</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3、公务接待费用0.35万元，比上年度增幅100%。主要是</w:t>
      </w:r>
      <w:r>
        <w:rPr>
          <w:rFonts w:hint="eastAsia" w:ascii="宋体" w:hAnsi="宋体" w:eastAsia="宋体" w:cs="宋体"/>
          <w:sz w:val="32"/>
          <w:szCs w:val="32"/>
        </w:rPr>
        <w:t>全县交通问题顽瘴痼疾集中整治暨交通秩序综合整治“飓风行动”</w:t>
      </w:r>
      <w:r>
        <w:rPr>
          <w:rFonts w:hint="eastAsia" w:ascii="宋体" w:hAnsi="宋体" w:eastAsia="宋体" w:cs="宋体"/>
          <w:sz w:val="32"/>
          <w:szCs w:val="32"/>
          <w:lang w:val="en-US" w:eastAsia="zh-CN"/>
        </w:rPr>
        <w:t>招待农村派出所村辅警招待费用。</w:t>
      </w:r>
    </w:p>
    <w:p>
      <w:pPr>
        <w:spacing w:before="156" w:beforeLines="50" w:after="156" w:afterLines="50" w:line="360" w:lineRule="auto"/>
        <w:ind w:firstLine="633" w:firstLineChars="198"/>
        <w:rPr>
          <w:rFonts w:hint="eastAsia" w:ascii="宋体" w:hAnsi="宋体" w:eastAsia="宋体" w:cs="宋体"/>
          <w:sz w:val="32"/>
          <w:szCs w:val="32"/>
        </w:rPr>
      </w:pPr>
    </w:p>
    <w:p>
      <w:pPr>
        <w:spacing w:before="156" w:beforeLines="50" w:after="156" w:afterLines="50" w:line="360" w:lineRule="auto"/>
        <w:ind w:firstLine="633" w:firstLineChars="198"/>
        <w:rPr>
          <w:rFonts w:hint="eastAsia" w:ascii="宋体" w:hAnsi="宋体" w:eastAsia="宋体" w:cs="宋体"/>
          <w:b w:val="0"/>
          <w:bCs/>
          <w:sz w:val="32"/>
          <w:szCs w:val="32"/>
        </w:rPr>
      </w:pPr>
      <w:r>
        <w:rPr>
          <w:rFonts w:hint="eastAsia" w:ascii="宋体" w:hAnsi="宋体" w:eastAsia="宋体" w:cs="宋体"/>
          <w:b w:val="0"/>
          <w:bCs/>
          <w:sz w:val="32"/>
          <w:szCs w:val="32"/>
        </w:rPr>
        <w:t>（2）会议费支出情况：</w:t>
      </w:r>
    </w:p>
    <w:p>
      <w:pPr>
        <w:spacing w:before="156" w:beforeLines="50" w:after="156" w:afterLines="50"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无</w:t>
      </w:r>
    </w:p>
    <w:p>
      <w:pPr>
        <w:spacing w:before="156" w:beforeLines="50" w:after="156" w:afterLines="50" w:line="360" w:lineRule="auto"/>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（3）培训费支出情况：</w:t>
      </w:r>
    </w:p>
    <w:p>
      <w:pPr>
        <w:spacing w:before="156" w:beforeLines="50" w:after="156" w:afterLines="50" w:line="360" w:lineRule="auto"/>
        <w:ind w:firstLine="768" w:firstLineChars="240"/>
        <w:rPr>
          <w:rFonts w:hint="eastAsia" w:ascii="宋体" w:hAnsi="宋体" w:eastAsia="宋体" w:cs="宋体"/>
          <w:sz w:val="32"/>
          <w:szCs w:val="32"/>
          <w:lang w:eastAsia="zh-CN"/>
        </w:rPr>
      </w:pPr>
      <w:r>
        <w:rPr>
          <w:rFonts w:hint="eastAsia" w:ascii="宋体" w:hAnsi="宋体" w:eastAsia="宋体" w:cs="宋体"/>
          <w:sz w:val="32"/>
          <w:szCs w:val="32"/>
          <w:lang w:eastAsia="zh-CN"/>
        </w:rPr>
        <w:t>无</w:t>
      </w:r>
    </w:p>
    <w:p>
      <w:pPr>
        <w:spacing w:before="156" w:beforeLines="50" w:after="156" w:afterLines="50" w:line="360" w:lineRule="auto"/>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4.财政拨款收入、支出分析。</w:t>
      </w:r>
    </w:p>
    <w:p>
      <w:pPr>
        <w:snapToGrid w:val="0"/>
        <w:spacing w:line="520" w:lineRule="exact"/>
        <w:ind w:firstLine="640" w:firstLineChars="200"/>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val="zh-CN"/>
        </w:rPr>
        <w:t>年度</w:t>
      </w:r>
      <w:r>
        <w:rPr>
          <w:rFonts w:hint="eastAsia" w:ascii="宋体" w:hAnsi="宋体" w:eastAsia="宋体" w:cs="宋体"/>
          <w:color w:val="000000"/>
          <w:kern w:val="0"/>
          <w:sz w:val="32"/>
          <w:szCs w:val="32"/>
          <w:lang w:val="en-US" w:eastAsia="zh-CN"/>
        </w:rPr>
        <w:t>财政拨款</w:t>
      </w:r>
      <w:r>
        <w:rPr>
          <w:rFonts w:hint="eastAsia" w:ascii="宋体" w:hAnsi="宋体" w:eastAsia="宋体" w:cs="宋体"/>
          <w:color w:val="000000"/>
          <w:kern w:val="0"/>
          <w:sz w:val="32"/>
          <w:szCs w:val="32"/>
          <w:lang w:val="zh-CN"/>
        </w:rPr>
        <w:t>收入为</w:t>
      </w:r>
      <w:r>
        <w:rPr>
          <w:rFonts w:hint="eastAsia" w:ascii="宋体" w:hAnsi="宋体" w:eastAsia="宋体" w:cs="宋体"/>
          <w:color w:val="000000"/>
          <w:kern w:val="0"/>
          <w:sz w:val="32"/>
          <w:szCs w:val="32"/>
          <w:lang w:val="en-US" w:eastAsia="zh-CN"/>
        </w:rPr>
        <w:t>1257.47</w:t>
      </w:r>
      <w:r>
        <w:rPr>
          <w:rFonts w:hint="eastAsia" w:ascii="宋体" w:hAnsi="宋体" w:eastAsia="宋体" w:cs="宋体"/>
          <w:color w:val="000000"/>
          <w:kern w:val="0"/>
          <w:sz w:val="32"/>
          <w:szCs w:val="32"/>
          <w:lang w:val="zh-CN"/>
        </w:rPr>
        <w:t>万元，其中公共安全支出收入为</w:t>
      </w:r>
      <w:r>
        <w:rPr>
          <w:rFonts w:hint="eastAsia" w:ascii="宋体" w:hAnsi="宋体" w:eastAsia="宋体" w:cs="宋体"/>
          <w:color w:val="000000"/>
          <w:kern w:val="0"/>
          <w:sz w:val="32"/>
          <w:szCs w:val="32"/>
          <w:lang w:val="en-US" w:eastAsia="zh-CN"/>
        </w:rPr>
        <w:t>1163.49</w:t>
      </w:r>
      <w:r>
        <w:rPr>
          <w:rFonts w:hint="eastAsia" w:ascii="宋体" w:hAnsi="宋体" w:eastAsia="宋体" w:cs="宋体"/>
          <w:color w:val="000000"/>
          <w:kern w:val="0"/>
          <w:sz w:val="32"/>
          <w:szCs w:val="32"/>
          <w:lang w:val="zh-CN"/>
        </w:rPr>
        <w:t>万元，占总收入9</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val="zh-CN"/>
        </w:rPr>
        <w:t>%；社会保障和就业支出收入为</w:t>
      </w:r>
      <w:r>
        <w:rPr>
          <w:rFonts w:hint="eastAsia" w:ascii="宋体" w:hAnsi="宋体" w:eastAsia="宋体" w:cs="宋体"/>
          <w:color w:val="000000"/>
          <w:kern w:val="0"/>
          <w:sz w:val="32"/>
          <w:szCs w:val="32"/>
          <w:lang w:val="en-US" w:eastAsia="zh-CN"/>
        </w:rPr>
        <w:t>45.37</w:t>
      </w:r>
      <w:r>
        <w:rPr>
          <w:rFonts w:hint="eastAsia" w:ascii="宋体" w:hAnsi="宋体" w:eastAsia="宋体" w:cs="宋体"/>
          <w:color w:val="000000"/>
          <w:kern w:val="0"/>
          <w:sz w:val="32"/>
          <w:szCs w:val="32"/>
          <w:lang w:val="zh-CN"/>
        </w:rPr>
        <w:t>万元，占总收入</w:t>
      </w:r>
      <w:r>
        <w:rPr>
          <w:rFonts w:hint="eastAsia" w:ascii="宋体" w:hAnsi="宋体" w:eastAsia="宋体" w:cs="宋体"/>
          <w:color w:val="000000"/>
          <w:kern w:val="0"/>
          <w:sz w:val="32"/>
          <w:szCs w:val="32"/>
          <w:lang w:val="en-US" w:eastAsia="zh-CN"/>
        </w:rPr>
        <w:t>3.6</w:t>
      </w:r>
      <w:r>
        <w:rPr>
          <w:rFonts w:hint="eastAsia" w:ascii="宋体" w:hAnsi="宋体" w:eastAsia="宋体" w:cs="宋体"/>
          <w:color w:val="000000"/>
          <w:kern w:val="0"/>
          <w:sz w:val="32"/>
          <w:szCs w:val="32"/>
          <w:lang w:val="zh-CN"/>
        </w:rPr>
        <w:t>%；医疗卫生和计划生育支出收入为</w:t>
      </w:r>
      <w:r>
        <w:rPr>
          <w:rFonts w:hint="eastAsia" w:ascii="宋体" w:hAnsi="宋体" w:eastAsia="宋体" w:cs="宋体"/>
          <w:color w:val="000000"/>
          <w:kern w:val="0"/>
          <w:sz w:val="32"/>
          <w:szCs w:val="32"/>
          <w:lang w:val="en-US" w:eastAsia="zh-CN"/>
        </w:rPr>
        <w:t>17.52</w:t>
      </w:r>
      <w:r>
        <w:rPr>
          <w:rFonts w:hint="eastAsia" w:ascii="宋体" w:hAnsi="宋体" w:eastAsia="宋体" w:cs="宋体"/>
          <w:color w:val="000000"/>
          <w:kern w:val="0"/>
          <w:sz w:val="32"/>
          <w:szCs w:val="32"/>
          <w:lang w:val="zh-CN"/>
        </w:rPr>
        <w:t>万元，占总收入</w:t>
      </w:r>
      <w:r>
        <w:rPr>
          <w:rFonts w:hint="eastAsia" w:ascii="宋体" w:hAnsi="宋体" w:eastAsia="宋体" w:cs="宋体"/>
          <w:color w:val="000000"/>
          <w:kern w:val="0"/>
          <w:sz w:val="32"/>
          <w:szCs w:val="32"/>
          <w:lang w:val="en-US" w:eastAsia="zh-CN"/>
        </w:rPr>
        <w:t>1.4</w:t>
      </w:r>
      <w:r>
        <w:rPr>
          <w:rFonts w:hint="eastAsia" w:ascii="宋体" w:hAnsi="宋体" w:eastAsia="宋体" w:cs="宋体"/>
          <w:color w:val="000000"/>
          <w:kern w:val="0"/>
          <w:sz w:val="32"/>
          <w:szCs w:val="32"/>
          <w:lang w:val="zh-CN"/>
        </w:rPr>
        <w:t>%；住房保障支出收入为</w:t>
      </w:r>
      <w:r>
        <w:rPr>
          <w:rFonts w:hint="eastAsia" w:ascii="宋体" w:hAnsi="宋体" w:eastAsia="宋体" w:cs="宋体"/>
          <w:color w:val="000000"/>
          <w:kern w:val="0"/>
          <w:sz w:val="32"/>
          <w:szCs w:val="32"/>
          <w:lang w:val="en-US" w:eastAsia="zh-CN"/>
        </w:rPr>
        <w:t>31.09</w:t>
      </w:r>
      <w:r>
        <w:rPr>
          <w:rFonts w:hint="eastAsia" w:ascii="宋体" w:hAnsi="宋体" w:eastAsia="宋体" w:cs="宋体"/>
          <w:color w:val="000000"/>
          <w:kern w:val="0"/>
          <w:sz w:val="32"/>
          <w:szCs w:val="32"/>
          <w:lang w:val="zh-CN"/>
        </w:rPr>
        <w:t>万元，占总收入</w:t>
      </w:r>
      <w:r>
        <w:rPr>
          <w:rFonts w:hint="eastAsia" w:ascii="宋体" w:hAnsi="宋体" w:eastAsia="宋体" w:cs="宋体"/>
          <w:color w:val="000000"/>
          <w:kern w:val="0"/>
          <w:sz w:val="32"/>
          <w:szCs w:val="32"/>
          <w:lang w:val="en-US" w:eastAsia="zh-CN"/>
        </w:rPr>
        <w:t>2.5</w:t>
      </w:r>
      <w:r>
        <w:rPr>
          <w:rFonts w:hint="eastAsia" w:ascii="宋体" w:hAnsi="宋体" w:eastAsia="宋体" w:cs="宋体"/>
          <w:color w:val="000000"/>
          <w:kern w:val="0"/>
          <w:sz w:val="32"/>
          <w:szCs w:val="32"/>
          <w:lang w:val="zh-CN"/>
        </w:rPr>
        <w:t>%。</w:t>
      </w:r>
    </w:p>
    <w:p>
      <w:pPr>
        <w:widowControl/>
        <w:spacing w:beforeLines="50" w:afterLines="50" w:line="460" w:lineRule="exact"/>
        <w:ind w:firstLine="640" w:firstLineChars="2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202</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lang w:val="zh-CN"/>
        </w:rPr>
        <w:t>年度</w:t>
      </w:r>
      <w:r>
        <w:rPr>
          <w:rFonts w:hint="eastAsia" w:ascii="宋体" w:hAnsi="宋体" w:eastAsia="宋体" w:cs="宋体"/>
          <w:color w:val="000000"/>
          <w:kern w:val="0"/>
          <w:sz w:val="32"/>
          <w:szCs w:val="32"/>
          <w:lang w:val="en-US" w:eastAsia="zh-CN"/>
        </w:rPr>
        <w:t>财政拨款</w:t>
      </w:r>
      <w:r>
        <w:rPr>
          <w:rFonts w:hint="eastAsia" w:ascii="宋体" w:hAnsi="宋体" w:eastAsia="宋体" w:cs="宋体"/>
          <w:color w:val="000000"/>
          <w:kern w:val="0"/>
          <w:sz w:val="32"/>
          <w:szCs w:val="32"/>
          <w:lang w:val="zh-CN"/>
        </w:rPr>
        <w:t>支出为为</w:t>
      </w:r>
      <w:r>
        <w:rPr>
          <w:rFonts w:hint="eastAsia" w:ascii="宋体" w:hAnsi="宋体" w:eastAsia="宋体" w:cs="宋体"/>
          <w:color w:val="000000"/>
          <w:kern w:val="0"/>
          <w:sz w:val="32"/>
          <w:szCs w:val="32"/>
          <w:lang w:val="en-US" w:eastAsia="zh-CN"/>
        </w:rPr>
        <w:t>1224.85</w:t>
      </w:r>
      <w:r>
        <w:rPr>
          <w:rFonts w:hint="eastAsia" w:ascii="宋体" w:hAnsi="宋体" w:eastAsia="宋体" w:cs="宋体"/>
          <w:color w:val="000000"/>
          <w:kern w:val="0"/>
          <w:sz w:val="32"/>
          <w:szCs w:val="32"/>
          <w:lang w:val="zh-CN"/>
        </w:rPr>
        <w:t>万元，其中公共安全支出</w:t>
      </w:r>
      <w:r>
        <w:rPr>
          <w:rFonts w:hint="eastAsia" w:ascii="宋体" w:hAnsi="宋体" w:eastAsia="宋体" w:cs="宋体"/>
          <w:color w:val="000000"/>
          <w:kern w:val="0"/>
          <w:sz w:val="32"/>
          <w:szCs w:val="32"/>
          <w:lang w:val="en-US" w:eastAsia="zh-CN"/>
        </w:rPr>
        <w:t>1130.87</w:t>
      </w:r>
      <w:r>
        <w:rPr>
          <w:rFonts w:hint="eastAsia" w:ascii="宋体" w:hAnsi="宋体" w:eastAsia="宋体" w:cs="宋体"/>
          <w:color w:val="000000"/>
          <w:kern w:val="0"/>
          <w:sz w:val="32"/>
          <w:szCs w:val="32"/>
          <w:lang w:val="zh-CN"/>
        </w:rPr>
        <w:t>万元，占总支出</w:t>
      </w:r>
      <w:r>
        <w:rPr>
          <w:rFonts w:hint="eastAsia" w:ascii="宋体" w:hAnsi="宋体" w:eastAsia="宋体" w:cs="宋体"/>
          <w:color w:val="000000"/>
          <w:kern w:val="0"/>
          <w:sz w:val="32"/>
          <w:szCs w:val="32"/>
          <w:lang w:val="en-US" w:eastAsia="zh-CN"/>
        </w:rPr>
        <w:t>92.3</w:t>
      </w:r>
      <w:r>
        <w:rPr>
          <w:rFonts w:hint="eastAsia" w:ascii="宋体" w:hAnsi="宋体" w:eastAsia="宋体" w:cs="宋体"/>
          <w:color w:val="000000"/>
          <w:kern w:val="0"/>
          <w:sz w:val="32"/>
          <w:szCs w:val="32"/>
          <w:lang w:val="zh-CN"/>
        </w:rPr>
        <w:t>%；社会保障和就业支出为</w:t>
      </w:r>
      <w:r>
        <w:rPr>
          <w:rFonts w:hint="eastAsia" w:ascii="宋体" w:hAnsi="宋体" w:eastAsia="宋体" w:cs="宋体"/>
          <w:color w:val="000000"/>
          <w:kern w:val="0"/>
          <w:sz w:val="32"/>
          <w:szCs w:val="32"/>
          <w:lang w:val="en-US" w:eastAsia="zh-CN"/>
        </w:rPr>
        <w:t>45.37</w:t>
      </w:r>
      <w:r>
        <w:rPr>
          <w:rFonts w:hint="eastAsia" w:ascii="宋体" w:hAnsi="宋体" w:eastAsia="宋体" w:cs="宋体"/>
          <w:color w:val="000000"/>
          <w:kern w:val="0"/>
          <w:sz w:val="32"/>
          <w:szCs w:val="32"/>
          <w:lang w:val="zh-CN"/>
        </w:rPr>
        <w:t>万元，占总支出</w:t>
      </w:r>
      <w:r>
        <w:rPr>
          <w:rFonts w:hint="eastAsia" w:ascii="宋体" w:hAnsi="宋体" w:eastAsia="宋体" w:cs="宋体"/>
          <w:color w:val="000000"/>
          <w:kern w:val="0"/>
          <w:sz w:val="32"/>
          <w:szCs w:val="32"/>
          <w:lang w:val="en-US" w:eastAsia="zh-CN"/>
        </w:rPr>
        <w:t>3.7</w:t>
      </w:r>
      <w:r>
        <w:rPr>
          <w:rFonts w:hint="eastAsia" w:ascii="宋体" w:hAnsi="宋体" w:eastAsia="宋体" w:cs="宋体"/>
          <w:color w:val="000000"/>
          <w:kern w:val="0"/>
          <w:sz w:val="32"/>
          <w:szCs w:val="32"/>
          <w:lang w:val="zh-CN"/>
        </w:rPr>
        <w:t>%；医疗卫生和计划生育支出为</w:t>
      </w:r>
      <w:r>
        <w:rPr>
          <w:rFonts w:hint="eastAsia" w:ascii="宋体" w:hAnsi="宋体" w:eastAsia="宋体" w:cs="宋体"/>
          <w:color w:val="000000"/>
          <w:kern w:val="0"/>
          <w:sz w:val="32"/>
          <w:szCs w:val="32"/>
          <w:lang w:val="en-US" w:eastAsia="zh-CN"/>
        </w:rPr>
        <w:t>17.52</w:t>
      </w:r>
      <w:r>
        <w:rPr>
          <w:rFonts w:hint="eastAsia" w:ascii="宋体" w:hAnsi="宋体" w:eastAsia="宋体" w:cs="宋体"/>
          <w:color w:val="000000"/>
          <w:kern w:val="0"/>
          <w:sz w:val="32"/>
          <w:szCs w:val="32"/>
          <w:lang w:val="zh-CN"/>
        </w:rPr>
        <w:t>万元，占总支出</w:t>
      </w:r>
      <w:r>
        <w:rPr>
          <w:rFonts w:hint="eastAsia" w:ascii="宋体" w:hAnsi="宋体" w:eastAsia="宋体" w:cs="宋体"/>
          <w:color w:val="000000"/>
          <w:kern w:val="0"/>
          <w:sz w:val="32"/>
          <w:szCs w:val="32"/>
          <w:lang w:val="en-US" w:eastAsia="zh-CN"/>
        </w:rPr>
        <w:t>1.4</w:t>
      </w:r>
      <w:r>
        <w:rPr>
          <w:rFonts w:hint="eastAsia" w:ascii="宋体" w:hAnsi="宋体" w:eastAsia="宋体" w:cs="宋体"/>
          <w:color w:val="000000"/>
          <w:kern w:val="0"/>
          <w:sz w:val="32"/>
          <w:szCs w:val="32"/>
          <w:lang w:val="zh-CN"/>
        </w:rPr>
        <w:t>%；</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5、资金管理情况</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（1）建立健全预算编制、审批、执行、决算与评价等预算内部管理制度。合理设置岗位，明确有关岗位的职责权限，确保预算编制、审批、执行、评价等不相容岗位相互分离。</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（2）预算编制应当做到程序规范、方法科学、编制及时、内容完整、项目细化、数据准确。</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（3）根据内设机构的职责和分工，规范内部预算追加调整，发挥预算对经济活动的管控作用。</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（4）单位应当根据批复的预算安排各项收支，确保预算严格有限执行；加强决算管理、确保决算真实、完整、准确、及时。</w:t>
      </w:r>
    </w:p>
    <w:p>
      <w:pPr>
        <w:pStyle w:val="21"/>
        <w:numPr>
          <w:ilvl w:val="0"/>
          <w:numId w:val="3"/>
        </w:numPr>
        <w:spacing w:after="0" w:line="240" w:lineRule="atLeast"/>
        <w:ind w:firstLine="640"/>
        <w:jc w:val="both"/>
        <w:rPr>
          <w:rFonts w:hint="eastAsia" w:ascii="宋体" w:hAnsi="宋体" w:eastAsia="宋体" w:cs="宋体"/>
          <w:sz w:val="32"/>
          <w:szCs w:val="32"/>
        </w:rPr>
      </w:pPr>
      <w:r>
        <w:rPr>
          <w:rFonts w:hint="eastAsia" w:ascii="宋体" w:hAnsi="宋体" w:eastAsia="宋体" w:cs="宋体"/>
          <w:sz w:val="32"/>
          <w:szCs w:val="32"/>
        </w:rPr>
        <w:t>单位应当加强预算绩效管理，建立“预算编制有目标、预算执行有监控、预算完成有评价、评价结果有反馈、反馈结果有应用“的全过程预算管理机制。</w:t>
      </w:r>
    </w:p>
    <w:p>
      <w:pPr>
        <w:spacing w:line="240" w:lineRule="atLeas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四、整体支出绩效目标完成情况</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、管理制度健全性上，根据国家有关财经法律法规和实际，制定了财务管理制度。</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资金使用合规性上，一直按国家财经法规和单位财务管理制度及有关专项资金管理办法的规定收支，资金拨付有完整的审批程序和手续，做到专款专用，保证资金适应的合规性，无截留、挤占、挪用、虚列支出等情况。</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、预决算公开性上，20</w:t>
      </w:r>
      <w:r>
        <w:rPr>
          <w:rFonts w:hint="eastAsia" w:ascii="宋体" w:hAnsi="宋体" w:eastAsia="宋体" w:cs="宋体"/>
          <w:sz w:val="32"/>
          <w:szCs w:val="32"/>
          <w:lang w:val="en-US" w:eastAsia="zh-CN"/>
        </w:rPr>
        <w:t>21</w:t>
      </w:r>
      <w:r>
        <w:rPr>
          <w:rFonts w:hint="eastAsia" w:ascii="宋体" w:hAnsi="宋体" w:eastAsia="宋体" w:cs="宋体"/>
          <w:sz w:val="32"/>
          <w:szCs w:val="32"/>
        </w:rPr>
        <w:t>年度的预决算数据及“三公经费“情况已经按照要求再政府门户网站公开。</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、职责履行：20</w:t>
      </w:r>
      <w:r>
        <w:rPr>
          <w:rFonts w:hint="eastAsia" w:ascii="宋体" w:hAnsi="宋体" w:eastAsia="宋体" w:cs="宋体"/>
          <w:sz w:val="32"/>
          <w:szCs w:val="32"/>
          <w:lang w:val="en-US" w:eastAsia="zh-CN"/>
        </w:rPr>
        <w:t>21</w:t>
      </w:r>
      <w:r>
        <w:rPr>
          <w:rFonts w:hint="eastAsia" w:ascii="宋体" w:hAnsi="宋体" w:eastAsia="宋体" w:cs="宋体"/>
          <w:sz w:val="32"/>
          <w:szCs w:val="32"/>
        </w:rPr>
        <w:t>年度在县委、县政府及上级部门正确领导和决策下，</w:t>
      </w:r>
      <w:bookmarkStart w:id="0" w:name="_GoBack"/>
      <w:bookmarkEnd w:id="0"/>
      <w:r>
        <w:rPr>
          <w:rFonts w:hint="eastAsia" w:ascii="宋体" w:hAnsi="宋体" w:eastAsia="宋体" w:cs="宋体"/>
          <w:sz w:val="32"/>
          <w:szCs w:val="32"/>
        </w:rPr>
        <w:t>圆满地完成了各项工作任务。</w:t>
      </w:r>
    </w:p>
    <w:p>
      <w:pPr>
        <w:pStyle w:val="21"/>
        <w:numPr>
          <w:ilvl w:val="0"/>
          <w:numId w:val="0"/>
        </w:numPr>
        <w:spacing w:line="240" w:lineRule="atLeast"/>
        <w:ind w:left="600" w:leftChars="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部门整体支出绩效评价指标表自我评分为</w:t>
      </w:r>
      <w:r>
        <w:rPr>
          <w:rFonts w:hint="eastAsia" w:ascii="宋体" w:hAnsi="宋体" w:eastAsia="宋体" w:cs="宋体"/>
          <w:sz w:val="32"/>
          <w:szCs w:val="32"/>
          <w:lang w:val="en-US" w:eastAsia="zh-CN"/>
        </w:rPr>
        <w:t>80</w:t>
      </w:r>
      <w:r>
        <w:rPr>
          <w:rFonts w:hint="eastAsia" w:ascii="宋体" w:hAnsi="宋体" w:eastAsia="宋体" w:cs="宋体"/>
          <w:sz w:val="32"/>
          <w:szCs w:val="32"/>
        </w:rPr>
        <w:t>分。</w:t>
      </w:r>
    </w:p>
    <w:p>
      <w:pPr>
        <w:pStyle w:val="21"/>
        <w:numPr>
          <w:ilvl w:val="1"/>
          <w:numId w:val="4"/>
        </w:numPr>
        <w:spacing w:line="240" w:lineRule="atLeast"/>
        <w:ind w:firstLineChars="0"/>
        <w:rPr>
          <w:rFonts w:hint="eastAsia" w:ascii="宋体" w:hAnsi="宋体" w:eastAsia="宋体" w:cs="宋体"/>
          <w:b/>
          <w:bCs/>
          <w:sz w:val="32"/>
          <w:szCs w:val="32"/>
        </w:rPr>
      </w:pPr>
      <w:r>
        <w:rPr>
          <w:rFonts w:hint="eastAsia" w:ascii="宋体" w:hAnsi="宋体" w:eastAsia="宋体" w:cs="宋体"/>
          <w:b/>
          <w:bCs/>
          <w:sz w:val="32"/>
          <w:szCs w:val="32"/>
        </w:rPr>
        <w:t>存在的问题</w:t>
      </w:r>
    </w:p>
    <w:p>
      <w:pPr>
        <w:spacing w:line="240" w:lineRule="atLeast"/>
        <w:ind w:firstLine="560" w:firstLineChars="200"/>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1、存在问题。部分资料收集不够完善，归档不够规范；经办人员的业务能力有待提高。</w:t>
      </w:r>
    </w:p>
    <w:p>
      <w:pPr>
        <w:spacing w:line="240" w:lineRule="atLeast"/>
        <w:ind w:firstLine="560" w:firstLineChars="200"/>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2、改进措施。进一步加强与财政等部门的沟通联系，积极参加各类学习、培训，努力提高业务能力、服务意识和服务水平。</w:t>
      </w:r>
    </w:p>
    <w:p>
      <w:pPr>
        <w:pStyle w:val="21"/>
        <w:numPr>
          <w:ilvl w:val="1"/>
          <w:numId w:val="4"/>
        </w:numPr>
        <w:spacing w:after="0" w:line="240" w:lineRule="atLeast"/>
        <w:ind w:firstLineChars="0"/>
        <w:jc w:val="both"/>
        <w:rPr>
          <w:rFonts w:hint="eastAsia" w:ascii="宋体" w:hAnsi="宋体" w:eastAsia="宋体" w:cs="宋体"/>
          <w:b/>
          <w:bCs/>
          <w:sz w:val="32"/>
          <w:szCs w:val="32"/>
        </w:rPr>
      </w:pPr>
      <w:r>
        <w:rPr>
          <w:rFonts w:hint="eastAsia" w:ascii="宋体" w:hAnsi="宋体" w:eastAsia="宋体" w:cs="宋体"/>
          <w:b/>
          <w:bCs/>
          <w:sz w:val="32"/>
          <w:szCs w:val="32"/>
        </w:rPr>
        <w:t>改进措施与建议</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1、强化内部管理，进一步完善管理制度。</w:t>
      </w:r>
    </w:p>
    <w:p>
      <w:pPr>
        <w:spacing w:line="24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2、建议县级预算足额安排好经费，确保工作开展实施到位。</w:t>
      </w:r>
    </w:p>
    <w:p>
      <w:pPr>
        <w:spacing w:line="240" w:lineRule="atLeast"/>
        <w:ind w:firstLine="600" w:firstLineChars="200"/>
        <w:rPr>
          <w:rFonts w:hint="eastAsia" w:asciiTheme="minorEastAsia" w:hAnsiTheme="minorEastAsia" w:eastAsiaTheme="minorEastAsia" w:cstheme="minorEastAsia"/>
          <w:sz w:val="30"/>
          <w:szCs w:val="30"/>
        </w:rPr>
      </w:pPr>
    </w:p>
    <w:p>
      <w:pPr>
        <w:spacing w:line="240" w:lineRule="atLeast"/>
        <w:ind w:firstLine="600" w:firstLineChars="200"/>
        <w:rPr>
          <w:rFonts w:hint="eastAsia" w:ascii="宋体" w:hAnsi="宋体" w:eastAsia="宋体" w:cs="宋体"/>
          <w:sz w:val="30"/>
          <w:szCs w:val="30"/>
          <w:lang w:eastAsia="zh-CN"/>
        </w:rPr>
      </w:pPr>
    </w:p>
    <w:p>
      <w:pPr>
        <w:spacing w:line="240" w:lineRule="atLeast"/>
        <w:ind w:firstLine="600" w:firstLineChars="200"/>
        <w:rPr>
          <w:rFonts w:hint="eastAsia" w:ascii="宋体" w:hAnsi="宋体" w:eastAsia="宋体" w:cs="宋体"/>
          <w:sz w:val="30"/>
          <w:szCs w:val="30"/>
          <w:lang w:eastAsia="zh-CN"/>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ascii="仿宋" w:hAnsi="仿宋" w:eastAsia="仿宋"/>
          <w:sz w:val="24"/>
        </w:rPr>
      </w:pPr>
      <w:r>
        <w:rPr>
          <w:rFonts w:ascii="仿宋" w:hAnsi="仿宋" w:eastAsia="仿宋"/>
          <w:sz w:val="36"/>
          <w:szCs w:val="36"/>
        </w:rPr>
        <w:t>部门整体支出绩效评价指标表</w:t>
      </w:r>
    </w:p>
    <w:tbl>
      <w:tblPr>
        <w:tblStyle w:val="8"/>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在职人员控制率=（在职人员数/编制数）×100%，在职人员数：部门（单位）实际在职人数，以财政确定的部门决算编制口径为准。</w:t>
            </w:r>
            <w:r>
              <w:rPr>
                <w:rFonts w:ascii="仿宋" w:hAnsi="仿宋" w:eastAsia="仿宋"/>
                <w:sz w:val="20"/>
                <w:szCs w:val="20"/>
              </w:rPr>
              <w:br w:type="textWrapping"/>
            </w: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hint="eastAsia" w:ascii="仿宋" w:hAnsi="仿宋" w:eastAsia="仿宋"/>
                <w:sz w:val="24"/>
                <w:lang w:val="en-US" w:eastAsia="zh-CN"/>
              </w:rPr>
              <w:t>4</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4</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2</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楼堂馆所面积控制率=实际建设面积/批准建设面积×100%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楼堂馆所投资预算控制率=实际投资金额/批准投资金额×100%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公用经费控制率=（实际支出公用经费总额/预算安排公用经费总额）×100%。</w:t>
            </w:r>
            <w:r>
              <w:rPr>
                <w:rFonts w:ascii="仿宋" w:hAnsi="仿宋" w:eastAsia="仿宋"/>
                <w:sz w:val="20"/>
                <w:szCs w:val="20"/>
              </w:rPr>
              <w:br w:type="textWrapping"/>
            </w: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3</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6</w:t>
            </w: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①有内部财务管理制度、会计核算制度等管理制度，2分；</w:t>
            </w:r>
            <w:r>
              <w:rPr>
                <w:rFonts w:ascii="仿宋" w:hAnsi="仿宋" w:eastAsia="仿宋"/>
                <w:sz w:val="20"/>
                <w:szCs w:val="20"/>
              </w:rPr>
              <w:br w:type="textWrapping"/>
            </w:r>
            <w:r>
              <w:rPr>
                <w:rFonts w:ascii="仿宋" w:hAnsi="仿宋" w:eastAsia="仿宋"/>
                <w:sz w:val="20"/>
                <w:szCs w:val="20"/>
              </w:rPr>
              <w:t>②有本部门厉行节约制度,2分；</w:t>
            </w:r>
            <w:r>
              <w:rPr>
                <w:rFonts w:ascii="仿宋" w:hAnsi="仿宋" w:eastAsia="仿宋"/>
                <w:sz w:val="20"/>
                <w:szCs w:val="20"/>
              </w:rPr>
              <w:br w:type="textWrapping"/>
            </w: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hint="eastAsia" w:ascii="仿宋" w:hAnsi="仿宋" w:eastAsia="仿宋"/>
                <w:sz w:val="20"/>
                <w:szCs w:val="20"/>
                <w:lang w:val="en-US" w:eastAsia="zh-CN"/>
              </w:rPr>
              <w:t>7</w:t>
            </w:r>
            <w:r>
              <w:rPr>
                <w:rFonts w:ascii="仿宋" w:hAnsi="仿宋" w:eastAsia="仿宋"/>
                <w:sz w:val="20"/>
                <w:szCs w:val="20"/>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sz w:val="20"/>
                <w:szCs w:val="20"/>
              </w:rPr>
              <w:br w:type="textWrapping"/>
            </w: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6</w:t>
            </w: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根据绩效办201</w:t>
            </w:r>
            <w:r>
              <w:rPr>
                <w:rFonts w:hint="eastAsia" w:ascii="仿宋" w:hAnsi="仿宋" w:eastAsia="仿宋"/>
                <w:sz w:val="20"/>
                <w:szCs w:val="20"/>
              </w:rPr>
              <w:t>9</w:t>
            </w:r>
            <w:r>
              <w:rPr>
                <w:rFonts w:ascii="仿宋" w:hAnsi="仿宋" w:eastAsia="仿宋"/>
                <w:sz w:val="20"/>
                <w:szCs w:val="20"/>
              </w:rPr>
              <w:t>年对各部门为民办实事和部门重点工程与重点工作考核分数折算。</w:t>
            </w:r>
            <w:r>
              <w:rPr>
                <w:rFonts w:ascii="仿宋" w:hAnsi="仿宋" w:eastAsia="仿宋"/>
                <w:sz w:val="20"/>
                <w:szCs w:val="20"/>
              </w:rPr>
              <w:br w:type="textWrapping"/>
            </w: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90%（含）以上计6分；</w:t>
            </w:r>
            <w:r>
              <w:rPr>
                <w:rFonts w:ascii="仿宋" w:hAnsi="仿宋" w:eastAsia="仿宋"/>
                <w:sz w:val="20"/>
                <w:szCs w:val="20"/>
              </w:rPr>
              <w:br w:type="textWrapping"/>
            </w:r>
            <w:r>
              <w:rPr>
                <w:rFonts w:ascii="仿宋" w:hAnsi="仿宋" w:eastAsia="仿宋"/>
                <w:sz w:val="20"/>
                <w:szCs w:val="20"/>
              </w:rPr>
              <w:t>80%（含）-90%，计4分；</w:t>
            </w:r>
            <w:r>
              <w:rPr>
                <w:rFonts w:ascii="仿宋" w:hAnsi="仿宋" w:eastAsia="仿宋"/>
                <w:sz w:val="20"/>
                <w:szCs w:val="20"/>
              </w:rPr>
              <w:br w:type="textWrapping"/>
            </w:r>
            <w:r>
              <w:rPr>
                <w:rFonts w:ascii="仿宋" w:hAnsi="仿宋" w:eastAsia="仿宋"/>
                <w:sz w:val="20"/>
                <w:szCs w:val="20"/>
              </w:rPr>
              <w:t>70%（含）-80%，计2分；</w:t>
            </w:r>
            <w:r>
              <w:rPr>
                <w:rFonts w:ascii="仿宋" w:hAnsi="仿宋" w:eastAsia="仿宋"/>
                <w:sz w:val="20"/>
                <w:szCs w:val="20"/>
              </w:rPr>
              <w:br w:type="textWrapping"/>
            </w: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8"/>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27</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93%</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b/>
                <w:bCs/>
                <w:sz w:val="24"/>
                <w:lang w:val="en-US" w:eastAsia="zh-CN"/>
              </w:rPr>
            </w:pPr>
            <w:r>
              <w:rPr>
                <w:rFonts w:hint="eastAsia" w:ascii="仿宋" w:hAnsi="仿宋" w:eastAsia="仿宋"/>
                <w:b/>
                <w:bCs/>
                <w:sz w:val="24"/>
                <w:lang w:val="en-US" w:eastAsia="zh-CN"/>
              </w:rPr>
              <w:t>2021年决算数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s="Times New Roman"/>
                <w:kern w:val="1"/>
                <w:sz w:val="24"/>
                <w:szCs w:val="24"/>
                <w:lang w:val="en-US" w:eastAsia="zh-CN" w:bidi="ar-SA"/>
              </w:rPr>
            </w:pPr>
            <w:r>
              <w:rPr>
                <w:rFonts w:hint="eastAsia" w:ascii="仿宋" w:hAnsi="仿宋" w:eastAsia="仿宋"/>
                <w:sz w:val="24"/>
                <w:lang w:val="en-US" w:eastAsia="zh-CN"/>
              </w:rPr>
              <w:t>49.62万元</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34.9万元</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64.10</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s="Times New Roman"/>
                <w:kern w:val="1"/>
                <w:sz w:val="24"/>
                <w:szCs w:val="24"/>
                <w:lang w:val="en-US" w:eastAsia="zh-CN" w:bidi="ar-SA"/>
              </w:rPr>
            </w:pPr>
            <w:r>
              <w:rPr>
                <w:rFonts w:hint="eastAsia" w:ascii="仿宋" w:hAnsi="仿宋" w:eastAsia="仿宋"/>
                <w:sz w:val="24"/>
                <w:lang w:val="en-US" w:eastAsia="zh-CN"/>
              </w:rPr>
              <w:t>49.62万元</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34.4万元</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63.75</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20.16</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s="Times New Roman"/>
                <w:kern w:val="1"/>
                <w:sz w:val="24"/>
                <w:szCs w:val="24"/>
                <w:lang w:val="en-US" w:eastAsia="zh-CN" w:bidi="ar-SA"/>
              </w:rPr>
            </w:pPr>
            <w:r>
              <w:rPr>
                <w:rFonts w:hint="eastAsia" w:ascii="仿宋" w:hAnsi="仿宋" w:eastAsia="仿宋"/>
                <w:sz w:val="24"/>
                <w:lang w:val="en-US" w:eastAsia="zh-CN"/>
              </w:rPr>
              <w:t>49.62万元</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34.4万元</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43.59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0.5万元</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0.35</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rPr>
              <w:t>专</w:t>
            </w:r>
            <w:r>
              <w:rPr>
                <w:rFonts w:ascii="仿宋" w:hAnsi="仿宋" w:eastAsia="仿宋"/>
                <w:sz w:val="24"/>
              </w:rPr>
              <w:t>项支出：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418.58</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118.95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414.86</w:t>
            </w:r>
            <w:r>
              <w:rPr>
                <w:rFonts w:ascii="仿宋" w:hAnsi="仿宋" w:eastAsia="仿宋"/>
                <w:sz w:val="24"/>
              </w:rPr>
              <w:t>　</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 xml:space="preserve">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ascii="仿宋" w:hAnsi="仿宋" w:eastAsia="仿宋"/>
                <w:color w:val="FF0000"/>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ascii="仿宋" w:hAnsi="仿宋" w:eastAsia="仿宋"/>
                <w:color w:val="FF0000"/>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olor w:val="FF0000"/>
                <w:sz w:val="24"/>
                <w:lang w:val="en-US" w:eastAsia="zh-CN"/>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eastAsia="zh-CN"/>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eastAsia="zh-CN"/>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eastAsia="zh-CN"/>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楼堂馆所控制情况</w:t>
            </w:r>
            <w:r>
              <w:rPr>
                <w:rFonts w:ascii="仿宋" w:hAnsi="仿宋" w:eastAsia="仿宋"/>
                <w:sz w:val="24"/>
              </w:rPr>
              <w:br w:type="textWrapping"/>
            </w:r>
            <w:r>
              <w:rPr>
                <w:rFonts w:ascii="仿宋" w:hAnsi="仿宋" w:eastAsia="仿宋"/>
                <w:sz w:val="24"/>
              </w:rPr>
              <w:t>（20</w:t>
            </w:r>
            <w:r>
              <w:rPr>
                <w:rFonts w:hint="eastAsia" w:ascii="仿宋" w:hAnsi="仿宋" w:eastAsia="仿宋"/>
                <w:sz w:val="24"/>
              </w:rPr>
              <w:t>20</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批复规模</w:t>
            </w:r>
            <w:r>
              <w:rPr>
                <w:rFonts w:ascii="仿宋" w:hAnsi="仿宋" w:eastAsia="仿宋"/>
                <w:b/>
                <w:bCs/>
                <w:sz w:val="24"/>
              </w:rPr>
              <w:br w:type="textWrapping"/>
            </w: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108"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left"/>
              <w:rPr>
                <w:rFonts w:asciiTheme="minorEastAsia" w:hAnsiTheme="minorEastAsia"/>
                <w:sz w:val="22"/>
                <w:szCs w:val="28"/>
              </w:rPr>
            </w:pPr>
            <w:r>
              <w:rPr>
                <w:rFonts w:hint="eastAsia" w:ascii="仿宋" w:hAnsi="仿宋" w:eastAsia="仿宋"/>
                <w:sz w:val="24"/>
                <w:lang w:eastAsia="zh-CN"/>
              </w:rPr>
              <w:tab/>
            </w:r>
            <w:r>
              <w:rPr>
                <w:rFonts w:hint="eastAsia" w:asciiTheme="minorEastAsia" w:hAnsiTheme="minorEastAsia"/>
                <w:sz w:val="22"/>
                <w:szCs w:val="28"/>
              </w:rPr>
              <w:t>1、树立全员节约意识，领导带头遵守例行节约各项规定，带动全体工作人员自觉树立节约意识。</w:t>
            </w:r>
          </w:p>
          <w:p>
            <w:pPr>
              <w:widowControl/>
              <w:tabs>
                <w:tab w:val="left" w:pos="274"/>
                <w:tab w:val="center" w:pos="3466"/>
              </w:tabs>
              <w:jc w:val="left"/>
              <w:rPr>
                <w:rFonts w:ascii="仿宋" w:hAnsi="仿宋" w:eastAsia="仿宋"/>
                <w:sz w:val="24"/>
              </w:rPr>
            </w:pPr>
            <w:r>
              <w:rPr>
                <w:rFonts w:hint="eastAsia" w:asciiTheme="minorEastAsia" w:hAnsiTheme="minorEastAsia"/>
                <w:sz w:val="22"/>
                <w:szCs w:val="28"/>
              </w:rPr>
              <w:t>2、严格控制差旅费及公车管理制度，节约办公费，大力提倡电子文档实行无纸化办公及局域网路办公。</w:t>
            </w:r>
            <w:r>
              <w:rPr>
                <w:rFonts w:hint="eastAsia" w:ascii="仿宋" w:hAnsi="仿宋" w:eastAsia="仿宋"/>
                <w:sz w:val="24"/>
                <w:lang w:eastAsia="zh-CN"/>
              </w:rPr>
              <w:tab/>
            </w: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w:t>
      </w:r>
      <w:r>
        <w:rPr>
          <w:rFonts w:hint="eastAsia" w:ascii="仿宋" w:hAnsi="仿宋" w:eastAsia="仿宋"/>
          <w:sz w:val="22"/>
          <w:szCs w:val="22"/>
        </w:rPr>
        <w:t>专</w:t>
      </w:r>
      <w:r>
        <w:rPr>
          <w:rFonts w:ascii="仿宋" w:hAnsi="仿宋" w:eastAsia="仿宋"/>
          <w:sz w:val="22"/>
          <w:szCs w:val="22"/>
        </w:rPr>
        <w:t>项支出”需要填报除基本支出以外的所有项目情况，包括业务工作项目、运行维护项目等；“公用经费”填报基本支出中的一般商品和服务支出。</w:t>
      </w:r>
    </w:p>
    <w:p>
      <w:pPr>
        <w:spacing w:line="600" w:lineRule="exact"/>
        <w:rPr>
          <w:rFonts w:ascii="仿宋" w:hAnsi="仿宋" w:eastAsia="仿宋"/>
        </w:rPr>
      </w:pPr>
    </w:p>
    <w:p>
      <w:pPr>
        <w:spacing w:line="58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3</w:t>
      </w:r>
    </w:p>
    <w:p>
      <w:pPr>
        <w:widowControl/>
        <w:ind w:left="93"/>
        <w:jc w:val="center"/>
        <w:rPr>
          <w:rFonts w:ascii="仿宋" w:hAnsi="仿宋" w:eastAsia="仿宋"/>
          <w:sz w:val="36"/>
          <w:szCs w:val="36"/>
        </w:rPr>
      </w:pPr>
      <w:r>
        <w:rPr>
          <w:rFonts w:hint="eastAsia" w:ascii="仿宋" w:hAnsi="仿宋" w:eastAsia="仿宋"/>
          <w:sz w:val="36"/>
          <w:szCs w:val="36"/>
        </w:rPr>
        <w:t>县</w:t>
      </w:r>
      <w:r>
        <w:rPr>
          <w:rFonts w:ascii="仿宋" w:hAnsi="仿宋" w:eastAsia="仿宋"/>
          <w:sz w:val="36"/>
          <w:szCs w:val="36"/>
        </w:rPr>
        <w:t>级财政</w:t>
      </w:r>
      <w:r>
        <w:rPr>
          <w:rFonts w:hint="eastAsia" w:ascii="仿宋" w:hAnsi="仿宋" w:eastAsia="仿宋"/>
          <w:sz w:val="36"/>
          <w:szCs w:val="36"/>
        </w:rPr>
        <w:t>重点</w:t>
      </w:r>
      <w:r>
        <w:rPr>
          <w:rFonts w:ascii="仿宋" w:hAnsi="仿宋" w:eastAsia="仿宋"/>
          <w:sz w:val="36"/>
          <w:szCs w:val="36"/>
        </w:rPr>
        <w:t>项</w:t>
      </w:r>
      <w:r>
        <w:rPr>
          <w:rFonts w:hint="eastAsia" w:ascii="仿宋" w:hAnsi="仿宋" w:eastAsia="仿宋"/>
          <w:sz w:val="36"/>
          <w:szCs w:val="36"/>
        </w:rPr>
        <w:t>目</w:t>
      </w:r>
      <w:r>
        <w:rPr>
          <w:rFonts w:ascii="仿宋" w:hAnsi="仿宋" w:eastAsia="仿宋"/>
          <w:sz w:val="36"/>
          <w:szCs w:val="36"/>
        </w:rPr>
        <w:t>资金绩效评价共性指标表</w:t>
      </w:r>
    </w:p>
    <w:p>
      <w:pPr>
        <w:widowControl/>
        <w:tabs>
          <w:tab w:val="left" w:pos="833"/>
          <w:tab w:val="left" w:pos="1533"/>
          <w:tab w:val="left" w:pos="2533"/>
          <w:tab w:val="left" w:pos="4833"/>
        </w:tabs>
        <w:ind w:left="93"/>
        <w:jc w:val="left"/>
        <w:rPr>
          <w:rFonts w:ascii="仿宋" w:hAnsi="仿宋" w:eastAsia="仿宋"/>
          <w:sz w:val="24"/>
        </w:rPr>
      </w:pPr>
    </w:p>
    <w:tbl>
      <w:tblPr>
        <w:tblStyle w:val="8"/>
        <w:tblW w:w="10026" w:type="dxa"/>
        <w:jc w:val="center"/>
        <w:tblLayout w:type="autofit"/>
        <w:tblCellMar>
          <w:top w:w="0" w:type="dxa"/>
          <w:left w:w="10" w:type="dxa"/>
          <w:bottom w:w="0" w:type="dxa"/>
          <w:right w:w="10" w:type="dxa"/>
        </w:tblCellMar>
      </w:tblPr>
      <w:tblGrid>
        <w:gridCol w:w="993"/>
        <w:gridCol w:w="1096"/>
        <w:gridCol w:w="313"/>
        <w:gridCol w:w="364"/>
        <w:gridCol w:w="1931"/>
        <w:gridCol w:w="369"/>
        <w:gridCol w:w="4671"/>
        <w:gridCol w:w="289"/>
      </w:tblGrid>
      <w:tr>
        <w:tblPrEx>
          <w:tblCellMar>
            <w:top w:w="0" w:type="dxa"/>
            <w:left w:w="10" w:type="dxa"/>
            <w:bottom w:w="0" w:type="dxa"/>
            <w:right w:w="10" w:type="dxa"/>
          </w:tblCellMar>
        </w:tblPrEx>
        <w:trPr>
          <w:tblHeader/>
          <w:jc w:val="center"/>
        </w:trPr>
        <w:tc>
          <w:tcPr>
            <w:tcW w:w="993"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一级</w:t>
            </w:r>
          </w:p>
        </w:tc>
        <w:tc>
          <w:tcPr>
            <w:tcW w:w="1096" w:type="dxa"/>
            <w:tcBorders>
              <w:top w:val="single" w:color="000000" w:sz="4" w:space="0"/>
              <w:left w:val="nil"/>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二级</w:t>
            </w:r>
          </w:p>
        </w:tc>
        <w:tc>
          <w:tcPr>
            <w:tcW w:w="677"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三级指标</w:t>
            </w:r>
          </w:p>
        </w:tc>
        <w:tc>
          <w:tcPr>
            <w:tcW w:w="230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指标解释</w:t>
            </w:r>
          </w:p>
        </w:tc>
        <w:tc>
          <w:tcPr>
            <w:tcW w:w="496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指标说明</w:t>
            </w:r>
          </w:p>
        </w:tc>
      </w:tr>
      <w:tr>
        <w:tblPrEx>
          <w:tblCellMar>
            <w:top w:w="0" w:type="dxa"/>
            <w:left w:w="10" w:type="dxa"/>
            <w:bottom w:w="0" w:type="dxa"/>
            <w:right w:w="10" w:type="dxa"/>
          </w:tblCellMar>
        </w:tblPrEx>
        <w:trPr>
          <w:tblHeader/>
          <w:jc w:val="center"/>
        </w:trPr>
        <w:tc>
          <w:tcPr>
            <w:tcW w:w="99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w:t>
            </w:r>
          </w:p>
        </w:tc>
        <w:tc>
          <w:tcPr>
            <w:tcW w:w="109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w:t>
            </w:r>
          </w:p>
        </w:tc>
        <w:tc>
          <w:tcPr>
            <w:tcW w:w="677"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投入</w:t>
            </w:r>
          </w:p>
          <w:p>
            <w:pPr>
              <w:widowControl/>
              <w:spacing w:line="280" w:lineRule="exact"/>
              <w:jc w:val="center"/>
              <w:rPr>
                <w:rFonts w:ascii="仿宋" w:hAnsi="仿宋" w:eastAsia="仿宋"/>
                <w:sz w:val="20"/>
                <w:szCs w:val="20"/>
              </w:rPr>
            </w:pPr>
            <w:r>
              <w:rPr>
                <w:rFonts w:ascii="仿宋" w:hAnsi="仿宋" w:eastAsia="仿宋"/>
                <w:sz w:val="20"/>
                <w:szCs w:val="20"/>
              </w:rPr>
              <w:t>（20分）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项目立项</w:t>
            </w:r>
          </w:p>
          <w:p>
            <w:pPr>
              <w:widowControl/>
              <w:spacing w:line="280" w:lineRule="exact"/>
              <w:jc w:val="center"/>
              <w:rPr>
                <w:rFonts w:ascii="仿宋" w:hAnsi="仿宋" w:eastAsia="仿宋"/>
                <w:sz w:val="20"/>
                <w:szCs w:val="20"/>
              </w:rPr>
            </w:pPr>
            <w:r>
              <w:rPr>
                <w:rFonts w:ascii="仿宋" w:hAnsi="仿宋" w:eastAsia="仿宋"/>
                <w:sz w:val="20"/>
                <w:szCs w:val="20"/>
              </w:rPr>
              <w:t>（12分）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项目立项规范性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项目的申请、设立过程是否符合相关要求，用以反映和考核项目立项的规范情况。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①项目是否按照规定的程序申请设立；</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②所提交的文件、材料是否符合相关要求；</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③事前是否已经过必要的可行性研究、专家论证、风险评估、集体决策等。</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绩效目标合理性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项目所设定的绩效目标是否依椐充分，是否符合客观实际，用以反映和考核项目绩效目标与项目实施的相符情况。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①是否符合国家相关法律法规，国民经济发展规划和党委政府决策；</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②是否与项目实施单位或委托单位职责密切相关；</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③项目是否为促进事业发展所必需；</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④项目顸期产出效益和效果是否符合正常的业绩水平。</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绩效指标明确性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依椐绩效目标设定的绩效指标是否清晰、细化、可衡量等，用以反映和考核项目绩效目标的明细化情况。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①是否将项目绩效目标细化分解为具体的绩效指标；</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②是否通过清晰、可衡量的指标值予以体现；</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③是否与项目年度任务</w:t>
            </w:r>
            <w:r>
              <w:rPr>
                <w:rFonts w:hint="eastAsia" w:ascii="仿宋" w:hAnsi="仿宋" w:eastAsia="仿宋"/>
                <w:sz w:val="20"/>
                <w:szCs w:val="20"/>
              </w:rPr>
              <w:t>数</w:t>
            </w:r>
            <w:r>
              <w:rPr>
                <w:rFonts w:ascii="仿宋" w:hAnsi="仿宋" w:eastAsia="仿宋"/>
                <w:sz w:val="20"/>
                <w:szCs w:val="20"/>
              </w:rPr>
              <w:t>或计划数相对应；</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④是否与预期确定的项目投资额或资金量相匹配。</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资金落实</w:t>
            </w:r>
          </w:p>
          <w:p>
            <w:pPr>
              <w:widowControl/>
              <w:spacing w:line="280" w:lineRule="exact"/>
              <w:jc w:val="center"/>
              <w:rPr>
                <w:rFonts w:ascii="仿宋" w:hAnsi="仿宋" w:eastAsia="仿宋"/>
                <w:sz w:val="20"/>
                <w:szCs w:val="20"/>
              </w:rPr>
            </w:pPr>
            <w:r>
              <w:rPr>
                <w:rFonts w:ascii="仿宋" w:hAnsi="仿宋" w:eastAsia="仿宋"/>
                <w:sz w:val="20"/>
                <w:szCs w:val="20"/>
              </w:rPr>
              <w:t>（8分）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资金到位率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实际到位资金与计划投入资金的比率，用以反映和考核资金落实情况对项目实施的总体保障程度。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资金到位率=（实际到位资金/计划投入资金）×100%。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实际到位资金：一定时期（本年度或项目期）内实际落实到具体项目的资金。</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计划投入资金：一定时期（本年度或项目期）内计划投入到具体项目的资金。</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到位及时率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及时到位资金与应到位资金的比率，用以反映和考核项目资金落实的及时性程度。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到位及时率＝（及时到位资金/应到位资金）×100%。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及时到位资金：截至规定时点实际落实到具体项目的资金。</w:t>
            </w:r>
          </w:p>
        </w:tc>
      </w:tr>
      <w:tr>
        <w:tblPrEx>
          <w:tblCellMar>
            <w:top w:w="0" w:type="dxa"/>
            <w:left w:w="10" w:type="dxa"/>
            <w:bottom w:w="0" w:type="dxa"/>
            <w:right w:w="10" w:type="dxa"/>
          </w:tblCellMar>
        </w:tblPrEx>
        <w:trPr>
          <w:trHeight w:val="764"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应到位资金：按照合同或项目进度要求截至规定时点应落实到具体项目的资金。</w:t>
            </w:r>
          </w:p>
        </w:tc>
      </w:tr>
      <w:tr>
        <w:tblPrEx>
          <w:tblCellMar>
            <w:top w:w="0" w:type="dxa"/>
            <w:left w:w="10" w:type="dxa"/>
            <w:bottom w:w="0" w:type="dxa"/>
            <w:right w:w="10" w:type="dxa"/>
          </w:tblCellMar>
        </w:tblPrEx>
        <w:trPr>
          <w:trHeight w:val="254" w:hRule="atLeast"/>
          <w:jc w:val="center"/>
        </w:trPr>
        <w:tc>
          <w:tcPr>
            <w:tcW w:w="993"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过程</w:t>
            </w:r>
          </w:p>
          <w:p>
            <w:pPr>
              <w:widowControl/>
              <w:spacing w:line="280" w:lineRule="exact"/>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业务管理</w:t>
            </w:r>
          </w:p>
          <w:p>
            <w:pPr>
              <w:widowControl/>
              <w:spacing w:line="280" w:lineRule="exact"/>
              <w:jc w:val="center"/>
              <w:rPr>
                <w:rFonts w:ascii="仿宋" w:hAnsi="仿宋" w:eastAsia="仿宋"/>
                <w:sz w:val="20"/>
                <w:szCs w:val="20"/>
              </w:rPr>
            </w:pPr>
            <w:r>
              <w:rPr>
                <w:rFonts w:ascii="仿宋" w:hAnsi="仿宋" w:eastAsia="仿宋"/>
                <w:sz w:val="20"/>
                <w:szCs w:val="20"/>
              </w:rPr>
              <w:t>（10分）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管理制度健全性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项目实施单位的业务管理制度是否健全，用以反映和考核业务管理制度对项目顺利实施的保障情况。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①是否已制定或具有相应的业务管理制度；</w:t>
            </w:r>
          </w:p>
        </w:tc>
      </w:tr>
      <w:tr>
        <w:tblPrEx>
          <w:tblCellMar>
            <w:top w:w="0" w:type="dxa"/>
            <w:left w:w="10" w:type="dxa"/>
            <w:bottom w:w="0" w:type="dxa"/>
            <w:right w:w="10" w:type="dxa"/>
          </w:tblCellMar>
        </w:tblPrEx>
        <w:trPr>
          <w:trHeight w:val="836"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②业务管理制度是否合法、合规、完整。</w:t>
            </w:r>
          </w:p>
        </w:tc>
      </w:tr>
      <w:tr>
        <w:tblPrEx>
          <w:tblCellMar>
            <w:top w:w="0" w:type="dxa"/>
            <w:left w:w="10" w:type="dxa"/>
            <w:bottom w:w="0" w:type="dxa"/>
            <w:right w:w="10" w:type="dxa"/>
          </w:tblCellMar>
        </w:tblPrEx>
        <w:trPr>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制度执行有效性</w:t>
            </w:r>
          </w:p>
        </w:tc>
        <w:tc>
          <w:tcPr>
            <w:tcW w:w="2300" w:type="dxa"/>
            <w:gridSpan w:val="2"/>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项目实施是否符合相关业务管理规定，用以反映和考核业务管理制度的有效执行情况。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①是否遵守相关法律法规和业务管理规定；</w:t>
            </w:r>
          </w:p>
        </w:tc>
      </w:tr>
      <w:tr>
        <w:tblPrEx>
          <w:tblCellMar>
            <w:top w:w="0" w:type="dxa"/>
            <w:left w:w="10" w:type="dxa"/>
            <w:bottom w:w="0" w:type="dxa"/>
            <w:right w:w="10" w:type="dxa"/>
          </w:tblCellMar>
        </w:tblPrEx>
        <w:trPr>
          <w:trHeight w:val="525" w:hRule="atLeast"/>
          <w:jc w:val="center"/>
        </w:trPr>
        <w:tc>
          <w:tcPr>
            <w:tcW w:w="993"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②项目调整及支出调整手续是否完备；</w:t>
            </w:r>
          </w:p>
        </w:tc>
      </w:tr>
      <w:tr>
        <w:tblPrEx>
          <w:tblCellMar>
            <w:top w:w="0" w:type="dxa"/>
            <w:left w:w="10" w:type="dxa"/>
            <w:bottom w:w="0" w:type="dxa"/>
            <w:right w:w="10" w:type="dxa"/>
          </w:tblCellMar>
        </w:tblPrEx>
        <w:trPr>
          <w:trHeight w:val="445" w:hRule="atLeast"/>
          <w:jc w:val="center"/>
        </w:trPr>
        <w:tc>
          <w:tcPr>
            <w:tcW w:w="993" w:type="dxa"/>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109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677" w:type="dxa"/>
            <w:gridSpan w:val="2"/>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2300" w:type="dxa"/>
            <w:gridSpan w:val="2"/>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rPr>
            </w:pPr>
          </w:p>
        </w:tc>
        <w:tc>
          <w:tcPr>
            <w:tcW w:w="4960" w:type="dxa"/>
            <w:gridSpan w:val="2"/>
            <w:tcBorders>
              <w:top w:val="single" w:color="auto" w:sz="4" w:space="0"/>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1"/>
          <w:wBefore w:w="2402" w:type="dxa"/>
          <w:wAfter w:w="289" w:type="dxa"/>
          <w:trHeight w:val="100" w:hRule="atLeast"/>
          <w:jc w:val="center"/>
        </w:trPr>
        <w:tc>
          <w:tcPr>
            <w:tcW w:w="2295" w:type="dxa"/>
            <w:gridSpan w:val="2"/>
            <w:tcBorders>
              <w:top w:val="nil"/>
              <w:left w:val="single" w:color="auto" w:sz="4" w:space="0"/>
            </w:tcBorders>
            <w:shd w:val="clear" w:color="auto" w:fill="auto"/>
          </w:tcPr>
          <w:p>
            <w:pPr>
              <w:rPr>
                <w:rFonts w:ascii="仿宋" w:hAnsi="仿宋" w:eastAsia="仿宋"/>
              </w:rPr>
            </w:pPr>
          </w:p>
        </w:tc>
        <w:tc>
          <w:tcPr>
            <w:tcW w:w="5040" w:type="dxa"/>
            <w:gridSpan w:val="2"/>
            <w:tcBorders>
              <w:left w:val="single" w:color="auto" w:sz="4" w:space="0"/>
            </w:tcBorders>
          </w:tcPr>
          <w:p>
            <w:pPr>
              <w:rPr>
                <w:rFonts w:ascii="仿宋" w:hAnsi="仿宋" w:eastAsia="仿宋"/>
              </w:rPr>
            </w:pPr>
          </w:p>
        </w:tc>
      </w:tr>
      <w:tr>
        <w:tblPrEx>
          <w:tblCellMar>
            <w:top w:w="0" w:type="dxa"/>
            <w:left w:w="10" w:type="dxa"/>
            <w:bottom w:w="0" w:type="dxa"/>
            <w:right w:w="10" w:type="dxa"/>
          </w:tblCellMar>
        </w:tblPrEx>
        <w:trPr>
          <w:trHeight w:val="463" w:hRule="atLeast"/>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③项目合同书、验收报告、技术审定等资料是否齐全并及时归档;</w:t>
            </w:r>
          </w:p>
        </w:tc>
      </w:tr>
      <w:tr>
        <w:tblPrEx>
          <w:tblCellMar>
            <w:top w:w="0" w:type="dxa"/>
            <w:left w:w="10" w:type="dxa"/>
            <w:bottom w:w="0" w:type="dxa"/>
            <w:right w:w="10" w:type="dxa"/>
          </w:tblCellMar>
        </w:tblPrEx>
        <w:trPr>
          <w:trHeight w:val="433"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④项目实施的人员条件、场地设备，信息支撑等是否落实到位。</w:t>
            </w:r>
          </w:p>
          <w:p>
            <w:pPr>
              <w:widowControl/>
              <w:spacing w:line="280" w:lineRule="exact"/>
              <w:rPr>
                <w:rFonts w:ascii="仿宋" w:hAnsi="仿宋" w:eastAsia="仿宋"/>
                <w:sz w:val="20"/>
                <w:szCs w:val="20"/>
              </w:rPr>
            </w:pPr>
          </w:p>
        </w:tc>
      </w:tr>
      <w:tr>
        <w:tblPrEx>
          <w:tblCellMar>
            <w:top w:w="0" w:type="dxa"/>
            <w:left w:w="10" w:type="dxa"/>
            <w:bottom w:w="0" w:type="dxa"/>
            <w:right w:w="10"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0"/>
                <w:szCs w:val="20"/>
              </w:rPr>
            </w:pPr>
            <w:r>
              <w:rPr>
                <w:rFonts w:ascii="仿宋" w:hAnsi="仿宋" w:eastAsia="仿宋"/>
                <w:sz w:val="20"/>
                <w:szCs w:val="20"/>
              </w:rPr>
              <w:t>过程</w:t>
            </w:r>
          </w:p>
          <w:p>
            <w:pPr>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业务管理</w:t>
            </w:r>
          </w:p>
          <w:p>
            <w:pPr>
              <w:jc w:val="left"/>
              <w:rPr>
                <w:rFonts w:ascii="仿宋" w:hAnsi="仿宋" w:eastAsia="仿宋"/>
                <w:sz w:val="20"/>
                <w:szCs w:val="20"/>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项目质量可控性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项目实施单位是否为达到项目质量要求而采取了必需的措施，用以反映和考核项目实施单位对项目质量的控制情况。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①是否已制定或其有相应的项目质量要求或标准；</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②是否采取了相应的项目质量检查、验收等必需的控制措施或手段。</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财务管理</w:t>
            </w:r>
          </w:p>
          <w:p>
            <w:pPr>
              <w:widowControl/>
              <w:jc w:val="center"/>
              <w:rPr>
                <w:rFonts w:ascii="仿宋" w:hAnsi="仿宋" w:eastAsia="仿宋"/>
                <w:sz w:val="20"/>
                <w:szCs w:val="20"/>
              </w:rPr>
            </w:pPr>
            <w:r>
              <w:rPr>
                <w:rFonts w:ascii="仿宋" w:hAnsi="仿宋" w:eastAsia="仿宋"/>
                <w:sz w:val="20"/>
                <w:szCs w:val="20"/>
              </w:rPr>
              <w:t>（20分）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项目实施单位的财务制度是否健全，用以反映和考核财务管理制度对资金规范安全运行的保障情况。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①是否已制定或具有相应的项目资金管理办法；</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②项目资金管理办法是否符合相关财务会计制度的规定。</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资金使用合规性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项目资金使用是否符合相关的财务管理制度规定，用以反映和考核项目资金的规范运行情况。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①是否符合国家财经法规和财务管理以及有关专项资金管理办法的规定；</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②资金的拨付是否有完整的审批程序和手续；</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③项目的重大开支是否经过评估认证；</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④是否符合项目预算批复或合同规定的用途；</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⑤是否存在截留、挤占、挪用、虚列支出等情况。</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财务监控有效性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项目实施单位是否为保障资金的安全、规范运行而采取了必要的监控措施，用以反映和考核项目实施单位对资金运行的控制情况。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①是否已制定或具有相应的监控机制；</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②是否采取了相应的财务检查等必要的监控措施或手段。</w:t>
            </w:r>
          </w:p>
        </w:tc>
      </w:tr>
      <w:tr>
        <w:tblPrEx>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w:t>
            </w:r>
          </w:p>
          <w:p>
            <w:pPr>
              <w:widowControl/>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项目产出</w:t>
            </w:r>
          </w:p>
          <w:p>
            <w:pPr>
              <w:widowControl/>
              <w:jc w:val="center"/>
              <w:rPr>
                <w:rFonts w:ascii="仿宋" w:hAnsi="仿宋" w:eastAsia="仿宋"/>
                <w:sz w:val="20"/>
                <w:szCs w:val="20"/>
              </w:rPr>
            </w:pPr>
            <w:r>
              <w:rPr>
                <w:rFonts w:ascii="仿宋" w:hAnsi="仿宋" w:eastAsia="仿宋"/>
                <w:sz w:val="20"/>
                <w:szCs w:val="20"/>
              </w:rPr>
              <w:t>（30分）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实际完成率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项目实施的实际产出数与计划产出数的比率，用以反映和考核项目产出数量目标的实现程度。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实际完成率＝（实际产出数/计划产出数）×100%。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实际产出数：一定时期（本年度或项目期）内项目实际产出的产品或提供的服务数。</w:t>
            </w:r>
          </w:p>
        </w:tc>
      </w:tr>
      <w:tr>
        <w:tblPrEx>
          <w:tblCellMar>
            <w:top w:w="0" w:type="dxa"/>
            <w:left w:w="10" w:type="dxa"/>
            <w:bottom w:w="0" w:type="dxa"/>
            <w:right w:w="10" w:type="dxa"/>
          </w:tblCellMar>
        </w:tblPrEx>
        <w:trPr>
          <w:trHeight w:val="707"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计划产出数：项目绩效目标确定的在一定时期（本年度或项目期）内计划产出的产品或提供的服务数量。</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完成及时率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项目实际提前完成时间与计划完成时间的比率，用以反映和考核项目产出时效目标的实现程度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完成及时率[ (计划完成时间-实际完成时间）/计划完成时间]</w:t>
            </w:r>
            <w:r>
              <w:rPr>
                <w:rFonts w:hint="eastAsia" w:ascii="宋体" w:hAnsi="宋体" w:cs="宋体"/>
                <w:sz w:val="20"/>
                <w:szCs w:val="20"/>
              </w:rPr>
              <w:t> </w:t>
            </w:r>
            <w:r>
              <w:rPr>
                <w:rFonts w:ascii="仿宋" w:hAnsi="仿宋" w:eastAsia="仿宋"/>
                <w:sz w:val="20"/>
                <w:szCs w:val="20"/>
              </w:rPr>
              <w:t>×100%。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实际完成时间：项目实施单位完成该项目实际所耗用的时间。</w:t>
            </w:r>
          </w:p>
        </w:tc>
      </w:tr>
      <w:tr>
        <w:tblPrEx>
          <w:tblCellMar>
            <w:top w:w="0" w:type="dxa"/>
            <w:left w:w="10" w:type="dxa"/>
            <w:bottom w:w="0" w:type="dxa"/>
            <w:right w:w="10" w:type="dxa"/>
          </w:tblCellMar>
        </w:tblPrEx>
        <w:trPr>
          <w:trHeight w:val="641"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计划完成时间：</w:t>
            </w:r>
            <w:r>
              <w:rPr>
                <w:rFonts w:hint="eastAsia" w:ascii="仿宋" w:hAnsi="仿宋" w:eastAsia="仿宋"/>
                <w:sz w:val="20"/>
                <w:szCs w:val="20"/>
              </w:rPr>
              <w:t>按</w:t>
            </w:r>
            <w:r>
              <w:rPr>
                <w:rFonts w:ascii="仿宋" w:hAnsi="仿宋" w:eastAsia="仿宋"/>
                <w:sz w:val="20"/>
                <w:szCs w:val="20"/>
              </w:rPr>
              <w:t>照项目实施计划或相关规定完成该项目所需的时间。</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质量达标率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项目完成的质量达标产出数与实际产出数的比率，用以反映和考核项目产出质量目标的实现程度。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质量达标率＝（质量达标产出数/实际产出数）/100%。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质量达标产出数：一定时期（本年度或项目期）内实际达到既定质量标准的产品或服务数量。</w:t>
            </w:r>
          </w:p>
        </w:tc>
      </w:tr>
      <w:tr>
        <w:tblPrEx>
          <w:tblCellMar>
            <w:top w:w="0" w:type="dxa"/>
            <w:left w:w="10" w:type="dxa"/>
            <w:bottom w:w="0" w:type="dxa"/>
            <w:right w:w="10" w:type="dxa"/>
          </w:tblCellMar>
        </w:tblPrEx>
        <w:trPr>
          <w:trHeight w:val="1121" w:hRule="exac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既定质量标准是指项目实施单位设立绩效目标时依据计划标准、行业标准、历史标准或其他标准而设定的绩效指标值。</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成本节约率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完成项目计划工作目标的实际节约成本与计划成本的比率，用以反映和考核项目的成本节约程度。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成本节约率＝(计划成本-实际成本)</w:t>
            </w:r>
            <w:r>
              <w:rPr>
                <w:rFonts w:hint="eastAsia" w:ascii="宋体" w:hAnsi="宋体" w:cs="宋体"/>
                <w:sz w:val="20"/>
                <w:szCs w:val="20"/>
              </w:rPr>
              <w:t> </w:t>
            </w:r>
            <w:r>
              <w:rPr>
                <w:rFonts w:ascii="仿宋" w:hAnsi="仿宋" w:eastAsia="仿宋"/>
                <w:sz w:val="20"/>
                <w:szCs w:val="20"/>
              </w:rPr>
              <w:t>/计划成本×100%。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实际成本：项目实施单位如期、保质、保量完成既定工作目标实际所耗费的支出。</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计划成本：项目实施单位为完成工作目标计划安排的支出，一般以项目预算为参考。</w:t>
            </w:r>
          </w:p>
        </w:tc>
      </w:tr>
      <w:tr>
        <w:tblPrEx>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效果</w:t>
            </w:r>
          </w:p>
          <w:p>
            <w:pPr>
              <w:widowControl/>
              <w:jc w:val="center"/>
              <w:rPr>
                <w:rFonts w:ascii="仿宋" w:hAnsi="仿宋" w:eastAsia="仿宋"/>
                <w:sz w:val="20"/>
                <w:szCs w:val="20"/>
              </w:rPr>
            </w:pPr>
            <w:r>
              <w:rPr>
                <w:rFonts w:ascii="仿宋" w:hAnsi="仿宋" w:eastAsia="仿宋"/>
                <w:sz w:val="20"/>
                <w:szCs w:val="20"/>
              </w:rPr>
              <w:t>（20分）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项目效益</w:t>
            </w:r>
          </w:p>
          <w:p>
            <w:pPr>
              <w:widowControl/>
              <w:jc w:val="center"/>
              <w:rPr>
                <w:rFonts w:ascii="仿宋" w:hAnsi="仿宋" w:eastAsia="仿宋"/>
                <w:sz w:val="20"/>
                <w:szCs w:val="20"/>
              </w:rPr>
            </w:pPr>
            <w:r>
              <w:rPr>
                <w:rFonts w:ascii="仿宋" w:hAnsi="仿宋" w:eastAsia="仿宋"/>
                <w:sz w:val="20"/>
                <w:szCs w:val="20"/>
              </w:rPr>
              <w:t>（20分）</w:t>
            </w: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项目实施对经济发展所带来的直接或间接影响情况。</w:t>
            </w:r>
          </w:p>
        </w:tc>
        <w:tc>
          <w:tcPr>
            <w:tcW w:w="496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此四项指标为设置项目支出績效评价指标时必须考虑的共性要素，可根据项目实际并结合绩效目标设立情况有选择的进行设置，并将其细化为相应的个性化指标。</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项目实施对社会发展所带来的直接或间接影响情况。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生态效益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项目实施对生态环境所带来的直接或间接影响情况。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可持续影响</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项目后续运行及成效发挥的可持续影响情况。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社会公众或服务对象满意度</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社会公众或服务对象对项目实施效策的满意程度</w:t>
            </w: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社会公众或服务对象是指因该项目实施而受到影响的部门(单位)、群体或个人。一般采取社会调查的方式。</w:t>
            </w:r>
          </w:p>
        </w:tc>
      </w:tr>
    </w:tbl>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5" w:h="16837"/>
      <w:pgMar w:top="1531" w:right="1304" w:bottom="1531" w:left="1531" w:header="720" w:footer="170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14300" cy="131445"/>
              <wp:effectExtent l="0" t="0" r="0" b="0"/>
              <wp:wrapSquare wrapText="bothSides"/>
              <wp:docPr id="1" name="文本框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pPr>
                            <w:rPr>
                              <w:rStyle w:val="13"/>
                            </w:rPr>
                          </w:pPr>
                          <w:r>
                            <w:rPr>
                              <w:rStyle w:val="13"/>
                            </w:rPr>
                            <w:fldChar w:fldCharType="begin"/>
                          </w:r>
                          <w:r>
                            <w:rPr>
                              <w:rStyle w:val="13"/>
                            </w:rPr>
                            <w:instrText xml:space="preserve"> PAGE \* Arabic </w:instrText>
                          </w:r>
                          <w:r>
                            <w:rPr>
                              <w:rStyle w:val="13"/>
                            </w:rPr>
                            <w:fldChar w:fldCharType="separate"/>
                          </w:r>
                          <w:r>
                            <w:rPr>
                              <w:rStyle w:val="13"/>
                            </w:rPr>
                            <w:t>6</w:t>
                          </w:r>
                          <w:r>
                            <w:rPr>
                              <w:rStyle w:val="13"/>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05pt;height:10.35pt;width:9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H/zq84AAAADAQAADwAAAAAAAAABACAAAAAiAAAAZHJzL2Rvd25yZXYu&#10;eG1sUEsBAhQAFAAAAAgAh07iQOFcHLfMAQAAlgMAAA4AAAAAAAAAAQAgAAAAHQEAAGRycy9lMm9E&#10;b2MueG1sUEsFBgAAAAAGAAYAWQEAAFsFAAAAAA==&#10;">
              <v:fill on="f" focussize="0,0"/>
              <v:stroke on="f"/>
              <v:imagedata o:title=""/>
              <o:lock v:ext="edit" aspectratio="f"/>
              <v:textbox inset="0mm,0mm,0mm,0mm" style="mso-fit-shape-to-text:t;">
                <w:txbxContent>
                  <w:p>
                    <w:pPr>
                      <w:rPr>
                        <w:rStyle w:val="13"/>
                      </w:rPr>
                    </w:pPr>
                    <w:r>
                      <w:rPr>
                        <w:rStyle w:val="13"/>
                      </w:rPr>
                      <w:fldChar w:fldCharType="begin"/>
                    </w:r>
                    <w:r>
                      <w:rPr>
                        <w:rStyle w:val="13"/>
                      </w:rPr>
                      <w:instrText xml:space="preserve"> PAGE \* Arabic </w:instrText>
                    </w:r>
                    <w:r>
                      <w:rPr>
                        <w:rStyle w:val="13"/>
                      </w:rPr>
                      <w:fldChar w:fldCharType="separate"/>
                    </w:r>
                    <w:r>
                      <w:rPr>
                        <w:rStyle w:val="13"/>
                      </w:rPr>
                      <w:t>6</w:t>
                    </w:r>
                    <w:r>
                      <w:rPr>
                        <w:rStyle w:val="13"/>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6A382"/>
    <w:multiLevelType w:val="singleLevel"/>
    <w:tmpl w:val="00C6A382"/>
    <w:lvl w:ilvl="0" w:tentative="0">
      <w:start w:val="2"/>
      <w:numFmt w:val="decimal"/>
      <w:suff w:val="nothing"/>
      <w:lvlText w:val="%1．"/>
      <w:lvlJc w:val="left"/>
    </w:lvl>
  </w:abstractNum>
  <w:abstractNum w:abstractNumId="1">
    <w:nsid w:val="1844102D"/>
    <w:multiLevelType w:val="multilevel"/>
    <w:tmpl w:val="1844102D"/>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8DF1C6C"/>
    <w:multiLevelType w:val="multilevel"/>
    <w:tmpl w:val="58DF1C6C"/>
    <w:lvl w:ilvl="0" w:tentative="0">
      <w:start w:val="1"/>
      <w:numFmt w:val="decimal"/>
      <w:suff w:val="nothing"/>
      <w:lvlText w:val="（%1）"/>
      <w:lvlJc w:val="left"/>
      <w:rPr>
        <w:rFonts w:cs="仿宋_GB2312" w:asciiTheme="minorEastAsia" w:hAnsiTheme="minorEastAsia" w:eastAsiaTheme="minorEastAsia"/>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3">
    <w:nsid w:val="6A1E5B7A"/>
    <w:multiLevelType w:val="multilevel"/>
    <w:tmpl w:val="6A1E5B7A"/>
    <w:lvl w:ilvl="0" w:tentative="0">
      <w:start w:val="6"/>
      <w:numFmt w:val="decimal"/>
      <w:lvlText w:val="%1、"/>
      <w:lvlJc w:val="left"/>
      <w:pPr>
        <w:ind w:left="1320" w:hanging="720"/>
      </w:pPr>
      <w:rPr>
        <w:rFonts w:hint="default"/>
      </w:rPr>
    </w:lvl>
    <w:lvl w:ilvl="1" w:tentative="0">
      <w:start w:val="5"/>
      <w:numFmt w:val="japaneseCounting"/>
      <w:lvlText w:val="%2、"/>
      <w:lvlJc w:val="left"/>
      <w:pPr>
        <w:ind w:left="1740" w:hanging="72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lvlOverride w:ilvl="0">
      <w:startOverride w:val="5"/>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characterSpacingControl w:val="doNotCompress"/>
  <w:hdrShapeDefaults>
    <o:shapelayout v:ext="edit">
      <o:idmap v:ext="edit" data="3"/>
    </o:shapelayout>
  </w:hdrShapeDefault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NTIxMTc4MGVjZDg4ZWI3MzhhZDlkYmM1NjE0YzYifQ=="/>
  </w:docVars>
  <w:rsids>
    <w:rsidRoot w:val="00A4594D"/>
    <w:rsid w:val="000470AB"/>
    <w:rsid w:val="00047DFE"/>
    <w:rsid w:val="000A2242"/>
    <w:rsid w:val="000B463E"/>
    <w:rsid w:val="000E7603"/>
    <w:rsid w:val="00172F7C"/>
    <w:rsid w:val="00273C36"/>
    <w:rsid w:val="002C22D5"/>
    <w:rsid w:val="003078DF"/>
    <w:rsid w:val="003B08B7"/>
    <w:rsid w:val="00412CF5"/>
    <w:rsid w:val="00426D8E"/>
    <w:rsid w:val="00537D56"/>
    <w:rsid w:val="00555771"/>
    <w:rsid w:val="00573F3B"/>
    <w:rsid w:val="005D2B1A"/>
    <w:rsid w:val="00630C89"/>
    <w:rsid w:val="0063529C"/>
    <w:rsid w:val="006D58DB"/>
    <w:rsid w:val="0070367D"/>
    <w:rsid w:val="00711ED6"/>
    <w:rsid w:val="007A0DAD"/>
    <w:rsid w:val="00812C14"/>
    <w:rsid w:val="00947E9C"/>
    <w:rsid w:val="00A4594D"/>
    <w:rsid w:val="00AB218A"/>
    <w:rsid w:val="00AC46D6"/>
    <w:rsid w:val="00AD5061"/>
    <w:rsid w:val="00AF061D"/>
    <w:rsid w:val="00B00066"/>
    <w:rsid w:val="00B10556"/>
    <w:rsid w:val="00CA4A8A"/>
    <w:rsid w:val="00D25D24"/>
    <w:rsid w:val="00D51381"/>
    <w:rsid w:val="00D51863"/>
    <w:rsid w:val="00D961AC"/>
    <w:rsid w:val="00DA6F15"/>
    <w:rsid w:val="00DE13DC"/>
    <w:rsid w:val="00E00622"/>
    <w:rsid w:val="00E02BB6"/>
    <w:rsid w:val="00E51125"/>
    <w:rsid w:val="00E86C51"/>
    <w:rsid w:val="00E87080"/>
    <w:rsid w:val="00F04CA0"/>
    <w:rsid w:val="00F60A6E"/>
    <w:rsid w:val="00FD08AA"/>
    <w:rsid w:val="01AD6822"/>
    <w:rsid w:val="02511E24"/>
    <w:rsid w:val="039252B2"/>
    <w:rsid w:val="05AB1144"/>
    <w:rsid w:val="06270898"/>
    <w:rsid w:val="074F2DDE"/>
    <w:rsid w:val="08807E96"/>
    <w:rsid w:val="08BB0771"/>
    <w:rsid w:val="0CE84766"/>
    <w:rsid w:val="0DDF0766"/>
    <w:rsid w:val="0F2635DD"/>
    <w:rsid w:val="14E402ED"/>
    <w:rsid w:val="1802379C"/>
    <w:rsid w:val="1835146D"/>
    <w:rsid w:val="199E2284"/>
    <w:rsid w:val="1A674245"/>
    <w:rsid w:val="1B3F6EA9"/>
    <w:rsid w:val="1B857017"/>
    <w:rsid w:val="1CBF65BB"/>
    <w:rsid w:val="1D1E32BA"/>
    <w:rsid w:val="205D1738"/>
    <w:rsid w:val="21073359"/>
    <w:rsid w:val="21744D56"/>
    <w:rsid w:val="23201794"/>
    <w:rsid w:val="233D7FB5"/>
    <w:rsid w:val="23DB67CF"/>
    <w:rsid w:val="24A34CA2"/>
    <w:rsid w:val="2A334E34"/>
    <w:rsid w:val="2B487647"/>
    <w:rsid w:val="2C976AC7"/>
    <w:rsid w:val="353B2464"/>
    <w:rsid w:val="36C30932"/>
    <w:rsid w:val="391605E4"/>
    <w:rsid w:val="39715B6B"/>
    <w:rsid w:val="3C51064B"/>
    <w:rsid w:val="3D32701A"/>
    <w:rsid w:val="3FD76DD6"/>
    <w:rsid w:val="3FF075EC"/>
    <w:rsid w:val="40EC3990"/>
    <w:rsid w:val="45415F01"/>
    <w:rsid w:val="46417AB7"/>
    <w:rsid w:val="46691146"/>
    <w:rsid w:val="47A33DB4"/>
    <w:rsid w:val="4A1A46C8"/>
    <w:rsid w:val="4A21344C"/>
    <w:rsid w:val="4B41400E"/>
    <w:rsid w:val="4BFC5942"/>
    <w:rsid w:val="4D06040F"/>
    <w:rsid w:val="4E430BC1"/>
    <w:rsid w:val="50C52161"/>
    <w:rsid w:val="517B77F7"/>
    <w:rsid w:val="52007F43"/>
    <w:rsid w:val="52264CD4"/>
    <w:rsid w:val="526A5606"/>
    <w:rsid w:val="52DC36CD"/>
    <w:rsid w:val="544C5987"/>
    <w:rsid w:val="55140AF7"/>
    <w:rsid w:val="5781561A"/>
    <w:rsid w:val="5BD90F0F"/>
    <w:rsid w:val="607F47C8"/>
    <w:rsid w:val="61DE037B"/>
    <w:rsid w:val="63610684"/>
    <w:rsid w:val="64964EBF"/>
    <w:rsid w:val="651D231B"/>
    <w:rsid w:val="69447CDE"/>
    <w:rsid w:val="6BF52C2D"/>
    <w:rsid w:val="6CDA0EA7"/>
    <w:rsid w:val="6F2C2265"/>
    <w:rsid w:val="72F51476"/>
    <w:rsid w:val="73C75A90"/>
    <w:rsid w:val="767A7A12"/>
    <w:rsid w:val="78F341AE"/>
    <w:rsid w:val="7B793AC0"/>
    <w:rsid w:val="7BF438EB"/>
    <w:rsid w:val="7D1008BF"/>
    <w:rsid w:val="7F19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Footer"/>
    <w:basedOn w:val="1"/>
    <w:qFormat/>
    <w:uiPriority w:val="0"/>
    <w:pPr>
      <w:tabs>
        <w:tab w:val="center" w:pos="4153"/>
        <w:tab w:val="right" w:pos="8306"/>
      </w:tabs>
      <w:jc w:val="left"/>
    </w:pPr>
    <w:rPr>
      <w:sz w:val="18"/>
      <w:szCs w:val="18"/>
    </w:rPr>
  </w:style>
  <w:style w:type="paragraph" w:customStyle="1" w:styleId="11">
    <w:name w:val="Header"/>
    <w:basedOn w:val="10"/>
    <w:qFormat/>
    <w:uiPriority w:val="0"/>
    <w:pPr>
      <w:pBdr>
        <w:top w:val="none" w:color="000000" w:sz="0" w:space="3"/>
        <w:left w:val="none" w:color="000000" w:sz="0" w:space="3"/>
        <w:bottom w:val="single" w:color="000000" w:sz="6" w:space="1"/>
        <w:right w:val="none" w:color="000000" w:sz="0" w:space="3"/>
        <w:between w:val="none" w:color="000000" w:sz="0" w:space="0"/>
      </w:pBdr>
      <w:jc w:val="center"/>
    </w:pPr>
  </w:style>
  <w:style w:type="character" w:customStyle="1" w:styleId="12">
    <w:name w:val="页脚 Char"/>
    <w:basedOn w:val="9"/>
    <w:qFormat/>
    <w:uiPriority w:val="0"/>
    <w:rPr>
      <w:rFonts w:ascii="Times New Roman" w:hAnsi="Times New Roman" w:eastAsia="宋体" w:cs="Times New Roman"/>
      <w:sz w:val="18"/>
      <w:szCs w:val="18"/>
    </w:rPr>
  </w:style>
  <w:style w:type="character" w:customStyle="1" w:styleId="13">
    <w:name w:val="Page Number"/>
    <w:basedOn w:val="9"/>
    <w:qFormat/>
    <w:uiPriority w:val="0"/>
  </w:style>
  <w:style w:type="character" w:customStyle="1" w:styleId="14">
    <w:name w:val="页眉 Char"/>
    <w:basedOn w:val="13"/>
    <w:qFormat/>
    <w:uiPriority w:val="0"/>
    <w:rPr>
      <w:rFonts w:ascii="Times New Roman" w:hAnsi="Times New Roman" w:eastAsia="宋体" w:cs="Times New Roman"/>
      <w:sz w:val="18"/>
      <w:szCs w:val="18"/>
    </w:rPr>
  </w:style>
  <w:style w:type="character" w:customStyle="1" w:styleId="15">
    <w:name w:val="页眉 Char1"/>
    <w:basedOn w:val="9"/>
    <w:link w:val="7"/>
    <w:semiHidden/>
    <w:qFormat/>
    <w:uiPriority w:val="99"/>
    <w:rPr>
      <w:sz w:val="18"/>
      <w:szCs w:val="18"/>
    </w:rPr>
  </w:style>
  <w:style w:type="character" w:customStyle="1" w:styleId="16">
    <w:name w:val="页脚 Char1"/>
    <w:basedOn w:val="9"/>
    <w:link w:val="6"/>
    <w:semiHidden/>
    <w:qFormat/>
    <w:uiPriority w:val="99"/>
    <w:rPr>
      <w:sz w:val="18"/>
      <w:szCs w:val="18"/>
    </w:rPr>
  </w:style>
  <w:style w:type="character" w:customStyle="1" w:styleId="17">
    <w:name w:val="标题 1 Char"/>
    <w:basedOn w:val="9"/>
    <w:link w:val="2"/>
    <w:qFormat/>
    <w:uiPriority w:val="9"/>
    <w:rPr>
      <w:b/>
      <w:bCs/>
      <w:kern w:val="44"/>
      <w:sz w:val="44"/>
      <w:szCs w:val="44"/>
    </w:rPr>
  </w:style>
  <w:style w:type="character" w:customStyle="1" w:styleId="18">
    <w:name w:val="标题 2 Char"/>
    <w:basedOn w:val="9"/>
    <w:link w:val="3"/>
    <w:qFormat/>
    <w:uiPriority w:val="9"/>
    <w:rPr>
      <w:rFonts w:asciiTheme="majorHAnsi" w:hAnsiTheme="majorHAnsi" w:eastAsiaTheme="majorEastAsia" w:cstheme="majorBidi"/>
      <w:b/>
      <w:bCs/>
      <w:sz w:val="32"/>
      <w:szCs w:val="32"/>
    </w:rPr>
  </w:style>
  <w:style w:type="character" w:customStyle="1" w:styleId="19">
    <w:name w:val="标题 3 Char"/>
    <w:basedOn w:val="9"/>
    <w:link w:val="4"/>
    <w:qFormat/>
    <w:uiPriority w:val="9"/>
    <w:rPr>
      <w:b/>
      <w:bCs/>
      <w:sz w:val="32"/>
      <w:szCs w:val="32"/>
    </w:rPr>
  </w:style>
  <w:style w:type="character" w:customStyle="1" w:styleId="20">
    <w:name w:val="标题 4 Char"/>
    <w:basedOn w:val="9"/>
    <w:link w:val="5"/>
    <w:qFormat/>
    <w:uiPriority w:val="9"/>
    <w:rPr>
      <w:rFonts w:asciiTheme="majorHAnsi" w:hAnsiTheme="majorHAnsi" w:eastAsiaTheme="majorEastAsia" w:cstheme="majorBidi"/>
      <w:b/>
      <w:bCs/>
      <w:sz w:val="28"/>
      <w:szCs w:val="28"/>
    </w:rPr>
  </w:style>
  <w:style w:type="paragraph" w:styleId="21">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5965</Words>
  <Characters>6383</Characters>
  <Lines>57</Lines>
  <Paragraphs>16</Paragraphs>
  <TotalTime>8</TotalTime>
  <ScaleCrop>false</ScaleCrop>
  <LinksUpToDate>false</LinksUpToDate>
  <CharactersWithSpaces>6971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2018-10-16T00:54:00Z</dcterms:created>
  <dc:creator>Administrator</dc:creator>
  <cp:lastModifiedBy>Administrator</cp:lastModifiedBy>
  <cp:lastPrinted>2021-06-17T01:18:00Z</cp:lastPrinted>
  <dcterms:modified xsi:type="dcterms:W3CDTF">2022-05-13T03:08:14Z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4D207309DF1E4159924103E9E199ED56</vt:lpwstr>
  </property>
</Properties>
</file>