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仿宋" w:eastAsia="仿宋"/>
          <w:sz w:val="32"/>
          <w:szCs w:val="32"/>
        </w:rPr>
      </w:pPr>
      <w:r>
        <w:rPr>
          <w:rFonts w:ascii="仿宋" w:eastAsia="仿宋"/>
          <w:sz w:val="32"/>
          <w:szCs w:val="32"/>
        </w:rPr>
        <w:t>附件</w:t>
      </w:r>
      <w:r>
        <w:rPr>
          <w:rFonts w:ascii="仿宋" w:eastAsia="仿宋" w:hint="eastAsia"/>
          <w:sz w:val="32"/>
          <w:szCs w:val="32"/>
        </w:rPr>
        <w:t>1</w:t>
      </w:r>
    </w:p>
    <w:p>
      <w:pPr>
        <w:spacing w:line="560" w:lineRule="exact"/>
        <w:jc w:val="center"/>
        <w:rPr>
          <w:rFonts w:ascii="仿宋" w:eastAsia="仿宋"/>
          <w:sz w:val="24"/>
        </w:rPr>
      </w:pPr>
      <w:r>
        <w:rPr>
          <w:rFonts w:ascii="仿宋" w:eastAsia="仿宋"/>
          <w:sz w:val="36"/>
          <w:szCs w:val="36"/>
        </w:rPr>
        <w:t>部门整体支出绩效评价指标表</w:t>
      </w:r>
    </w:p>
    <w:tbl>
      <w:tblPr>
        <w:jc w:val="center"/>
        <w:tblW w:w="1060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
      <w:tblGrid>
        <w:gridCol w:w="518"/>
        <w:gridCol w:w="416"/>
        <w:gridCol w:w="677"/>
        <w:gridCol w:w="416"/>
        <w:gridCol w:w="1014"/>
        <w:gridCol w:w="416"/>
        <w:gridCol w:w="3016"/>
        <w:gridCol w:w="3490"/>
        <w:gridCol w:w="637"/>
      </w:tblGrid>
      <w:tr>
        <w:trPr>
          <w:tblHead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三级</w:t>
            </w:r>
          </w:p>
          <w:p>
            <w:pPr>
              <w:widowControl/>
              <w:jc w:val="center"/>
              <w:rPr>
                <w:rFonts w:ascii="仿宋" w:eastAsia="仿宋"/>
                <w:sz w:val="20"/>
                <w:szCs w:val="20"/>
              </w:rPr>
            </w:pPr>
            <w:r>
              <w:rPr>
                <w:rFonts w:ascii="仿宋" w:eastAsia="仿宋"/>
                <w:sz w:val="20"/>
                <w:szCs w:val="20"/>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得分</w:t>
            </w:r>
          </w:p>
        </w:tc>
      </w:tr>
      <w:tr>
        <w:trPr>
          <w:trHeight w:val="1814"/>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10</w:t>
            </w:r>
          </w:p>
        </w:tc>
        <w:tc>
          <w:tcPr>
            <w:tcW w:w="677" w:type="dxa"/>
            <w:vMerge w:val="restart"/>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10</w:t>
            </w: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在职人员控制率</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5</w:t>
            </w:r>
          </w:p>
        </w:tc>
        <w:tc>
          <w:tcPr>
            <w:tcW w:w="3016" w:type="dxa"/>
            <w:tcMar>
              <w:left w:w="108" w:type="dxa"/>
              <w:right w:w="108" w:type="dxa"/>
            </w:tcMar>
            <w:vAlign w:val="center"/>
          </w:tcPr>
          <w:p>
            <w:pPr>
              <w:widowControl/>
              <w:jc w:val="left"/>
              <w:rPr>
                <w:rFonts w:ascii="仿宋" w:eastAsia="仿宋"/>
                <w:sz w:val="20"/>
                <w:szCs w:val="20"/>
              </w:rPr>
            </w:pPr>
            <w:r>
              <w:rPr>
                <w:rFonts w:ascii="仿宋" w:eastAsia="仿宋"/>
                <w:sz w:val="20"/>
                <w:szCs w:val="20"/>
              </w:rPr>
              <w:t>以100%为标准。在职人员控制率≦100%，计5分；每超过一个百分点扣0.5分，扣完为止。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在职人员控制率=（在职人员数/编制数）×100%，在职人员数：部门（单位）实际在职人数，以财政确定的部门决算编制口径为准。</w:t>
              <w:b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5</w:t>
            </w:r>
          </w:p>
        </w:tc>
      </w:tr>
      <w:t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“三公经费”变动率</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“三公经费”变动率≦0,计</w:t>
            </w:r>
            <w:r>
              <w:rPr>
                <w:rFonts w:ascii="仿宋" w:eastAsia="仿宋" w:hint="eastAsia"/>
                <w:sz w:val="20"/>
                <w:szCs w:val="20"/>
              </w:rPr>
              <w:t>5</w:t>
            </w:r>
            <w:r>
              <w:rPr>
                <w:rFonts w:ascii="仿宋" w:eastAsia="仿宋"/>
                <w:sz w:val="20"/>
                <w:szCs w:val="20"/>
              </w:rPr>
              <w:t>分；“三公经费”＞0，每超过一个百分点扣0.</w:t>
            </w:r>
            <w:r>
              <w:rPr>
                <w:rFonts w:ascii="仿宋" w:eastAsia="仿宋" w:hint="eastAsia"/>
                <w:sz w:val="20"/>
                <w:szCs w:val="20"/>
              </w:rPr>
              <w:t>5</w:t>
            </w:r>
            <w:r>
              <w:rPr>
                <w:rFonts w:ascii="仿宋" w:eastAsia="仿宋"/>
                <w:sz w:val="20"/>
                <w:szCs w:val="20"/>
              </w:rPr>
              <w:t>分，扣完为止。</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“三公经费”变动率=[（本年度“三公经费”预算数-上年度“三公经费”预算数）/上年度“三公经费”预算数]×100%</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5</w:t>
            </w:r>
          </w:p>
        </w:tc>
      </w:tr>
      <w:t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过                                                                                                                                       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20</w:t>
            </w: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预算完成率</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5</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100%计满分，每低于</w:t>
            </w:r>
            <w:r>
              <w:rPr>
                <w:rFonts w:ascii="仿宋" w:eastAsia="仿宋" w:hint="eastAsia"/>
                <w:sz w:val="20"/>
                <w:szCs w:val="20"/>
              </w:rPr>
              <w:t>5个百分点</w:t>
            </w:r>
            <w:r>
              <w:rPr>
                <w:rFonts w:ascii="仿宋" w:eastAsia="仿宋"/>
                <w:sz w:val="20"/>
                <w:szCs w:val="20"/>
              </w:rPr>
              <w:t>扣2分，扣完为止。</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预算完成率=（上年结转+年初预算+本年追加预算-年末结余）/（上年结转+年初预算+本年追加预算）×100%。</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5</w:t>
            </w:r>
          </w:p>
        </w:tc>
      </w:tr>
      <w:tr>
        <w:trPr>
          <w:trHeight w:val="1273"/>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预算控制率</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5</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预算控制率=0，计5分；0-10%（含），计4分；10-20%（含），计3分；20-30%（含），计2分；大于30%不得分。</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预算控制率=（本年追加预算/年初预算）×100%。</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5</w:t>
            </w:r>
          </w:p>
        </w:tc>
      </w:tr>
      <w:tr>
        <w:trPr>
          <w:trHeight w:val="1325"/>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5</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100%以下（含）计满分，每超出5%扣2分，扣完为止。没有楼堂馆所项目的部门按满分计算。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楼堂馆所面积控制率=实际建设面积/批准建设面积×100% 。</w:t>
              <w:br/>
              <w:t>该指标以201</w:t>
            </w:r>
            <w:r>
              <w:rPr>
                <w:rFonts w:ascii="仿宋" w:eastAsia="仿宋" w:hint="eastAsia"/>
                <w:sz w:val="20"/>
                <w:szCs w:val="20"/>
              </w:rPr>
              <w:t>7</w:t>
            </w:r>
            <w:r>
              <w:rPr>
                <w:rFonts w:ascii="仿宋" w:eastAsia="仿宋"/>
                <w:sz w:val="20"/>
                <w:szCs w:val="20"/>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5</w:t>
            </w:r>
          </w:p>
        </w:tc>
      </w:tr>
      <w:tr>
        <w:trPr>
          <w:trHeight w:val="1543"/>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5</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100%以下（含）计满分，每超出5%扣2分，扣完为止。</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楼堂馆所投资预算控制率=实际投资金额/批准投资金额×100% 。</w:t>
              <w:br/>
              <w:t>该指标以201</w:t>
            </w:r>
            <w:r>
              <w:rPr>
                <w:rFonts w:ascii="仿宋" w:eastAsia="仿宋" w:hint="eastAsia"/>
                <w:sz w:val="20"/>
                <w:szCs w:val="20"/>
              </w:rPr>
              <w:t>7</w:t>
            </w:r>
            <w:r>
              <w:rPr>
                <w:rFonts w:ascii="仿宋" w:eastAsia="仿宋"/>
                <w:sz w:val="20"/>
                <w:szCs w:val="20"/>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5</w:t>
            </w:r>
          </w:p>
        </w:tc>
      </w:tr>
      <w:tr>
        <w:trPr>
          <w:trHeight w:val="1562"/>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40</w:t>
            </w: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公用经费控制率</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8</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公用经费控制率=（实际支出公用经费总额/预算安排公用经费总额）×100%。</w:t>
              <w:b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pPr>
              <w:widowControl/>
              <w:ind w:firstLineChars="100" w:firstLine="240"/>
              <w:jc w:val="left"/>
              <w:rPr>
                <w:rFonts w:ascii="仿宋" w:eastAsia="仿宋"/>
                <w:sz w:val="24"/>
              </w:rPr>
            </w:pPr>
            <w:r>
              <w:rPr>
                <w:rFonts w:ascii="仿宋" w:eastAsia="仿宋"/>
                <w:sz w:val="24"/>
              </w:rPr>
              <w:t>5　</w:t>
            </w:r>
          </w:p>
        </w:tc>
      </w:tr>
      <w:tr>
        <w:trPr>
          <w:trHeight w:val="1073"/>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“三公经费”控制率</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7</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“三公经费”控制率-（“三公经费”实际支出数/“三公经费”预算安排数）×100%。</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6</w:t>
            </w:r>
          </w:p>
        </w:tc>
      </w:tr>
      <w:tr>
        <w:trPr>
          <w:trHeight w:val="918"/>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政府采购执行率</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6</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100%计满分，每超过（降低）5%扣2分。扣完为止。</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政府采购执行率=（实际政府采购金额/政府采购预算数）×100%</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6</w:t>
            </w:r>
          </w:p>
        </w:tc>
      </w:tr>
      <w:t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过                                                                                                                                       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p>
        </w:tc>
        <w:tc>
          <w:tcPr>
            <w:tcW w:w="677" w:type="dxa"/>
            <w:vMerge w:val="restart"/>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管理制度健全性</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8</w:t>
            </w:r>
          </w:p>
        </w:tc>
        <w:tc>
          <w:tcPr>
            <w:tcW w:w="30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①有内部财务管理制度、会计核算制度等管理制度，2分；</w:t>
              <w:br/>
              <w:t>②有本部门厉行节约制度,2分；</w:t>
              <w:br/>
              <w:t>③相关管理制度合法、合规、完整，2分；④相关管理制度得到有效执行，2分。</w:t>
            </w:r>
          </w:p>
        </w:tc>
        <w:tc>
          <w:tcPr>
            <w:tcW w:w="3490"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　</w:t>
            </w:r>
          </w:p>
        </w:tc>
        <w:tc>
          <w:tcPr>
            <w:tcW w:w="637"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7　</w:t>
            </w:r>
          </w:p>
        </w:tc>
      </w:tr>
      <w:t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资金使用合规性</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6</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br/>
              <w:t>以上情况每出现一例不符合要求的扣1分，扣完为止。</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　</w:t>
            </w:r>
          </w:p>
        </w:tc>
        <w:tc>
          <w:tcPr>
            <w:tcW w:w="637" w:type="dxa"/>
            <w:tcBorders>
              <w:bottom w:val="single" w:sz="4" w:space="0" w:color="000000"/>
              <w:right w:val="single" w:sz="4" w:space="0" w:color="000000"/>
            </w:tcBorders>
            <w:tcMar>
              <w:left w:w="108" w:type="dxa"/>
              <w:right w:w="108" w:type="dxa"/>
            </w:tcMar>
            <w:vAlign w:val="center"/>
          </w:tcPr>
          <w:p>
            <w:pPr>
              <w:widowControl/>
              <w:ind w:firstLineChars="50" w:firstLine="120"/>
              <w:jc w:val="left"/>
              <w:rPr>
                <w:rFonts w:ascii="仿宋" w:eastAsia="仿宋"/>
                <w:sz w:val="24"/>
              </w:rPr>
            </w:pPr>
            <w:r>
              <w:rPr>
                <w:rFonts w:ascii="仿宋" w:eastAsia="仿宋"/>
                <w:sz w:val="24"/>
              </w:rPr>
              <w:t>6　</w:t>
            </w:r>
          </w:p>
        </w:tc>
      </w:tr>
      <w:t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预决算信息公开性</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5</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5</w:t>
            </w:r>
          </w:p>
        </w:tc>
      </w:tr>
      <w:t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产出及效率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30</w:t>
            </w:r>
          </w:p>
        </w:tc>
        <w:tc>
          <w:tcPr>
            <w:tcW w:w="677"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职责履行</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8</w:t>
            </w:r>
          </w:p>
        </w:tc>
        <w:tc>
          <w:tcPr>
            <w:tcW w:w="1014" w:type="dxa"/>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重点工作实际完成率</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8</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根据绩效办2021年对各部门为民办实事和部门重点工程与重点工作考核分数折算。</w:t>
              <w:br/>
              <w:t>该项得分=（绩效办对应部分考核得分/</w:t>
            </w:r>
            <w:r>
              <w:rPr>
                <w:rFonts w:ascii="仿宋" w:eastAsia="仿宋" w:hint="eastAsia"/>
                <w:sz w:val="20"/>
                <w:szCs w:val="20"/>
              </w:rPr>
              <w:t>100</w:t>
            </w:r>
            <w:r>
              <w:rPr>
                <w:rFonts w:ascii="仿宋" w:eastAsia="仿宋"/>
                <w:sz w:val="20"/>
                <w:szCs w:val="20"/>
              </w:rPr>
              <w:t>）*8</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　</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8</w:t>
            </w:r>
          </w:p>
        </w:tc>
      </w:tr>
      <w:tr>
        <w:trPr>
          <w:trHeight w:val="360"/>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履职 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经济效益</w:t>
            </w:r>
          </w:p>
        </w:tc>
        <w:tc>
          <w:tcPr>
            <w:tcW w:w="416" w:type="dxa"/>
            <w:vMerge w:val="restart"/>
            <w:tcBorders>
              <w:left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8</w:t>
            </w:r>
          </w:p>
        </w:tc>
      </w:tr>
      <w:t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社会效益</w:t>
            </w:r>
          </w:p>
        </w:tc>
        <w:tc>
          <w:tcPr>
            <w:tcW w:w="416" w:type="dxa"/>
            <w:vMerge/>
            <w:tcBorders>
              <w:left w:val="single" w:sz="4" w:space="0" w:color="000000"/>
              <w:bottom w:val="single" w:sz="4" w:space="0" w:color="auto"/>
              <w:right w:val="single" w:sz="4" w:space="0" w:color="000000"/>
            </w:tcBorders>
            <w:tcMar>
              <w:left w:w="108" w:type="dxa"/>
              <w:right w:w="108" w:type="dxa"/>
            </w:tcMar>
            <w:vAlign w:val="center"/>
          </w:tcPr>
          <w:p/>
        </w:tc>
        <w:tc>
          <w:tcPr>
            <w:tcW w:w="6506" w:type="dxa"/>
            <w:gridSpan w:val="2"/>
            <w:vMerge/>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tc>
        <w:tc>
          <w:tcPr>
            <w:tcW w:w="637" w:type="dxa"/>
            <w:tcBorders>
              <w:bottom w:val="single" w:sz="4" w:space="0" w:color="auto"/>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12</w:t>
            </w: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pPr>
              <w:widowControl/>
              <w:ind w:firstLineChars="50" w:firstLine="120"/>
              <w:jc w:val="left"/>
              <w:rPr>
                <w:rFonts w:ascii="仿宋" w:eastAsia="仿宋"/>
                <w:sz w:val="24"/>
              </w:rPr>
            </w:pPr>
            <w:r>
              <w:rPr>
                <w:rFonts w:ascii="仿宋" w:eastAsia="仿宋"/>
                <w:sz w:val="24"/>
              </w:rPr>
              <w:t>3　</w:t>
            </w:r>
          </w:p>
        </w:tc>
      </w:tr>
      <w:t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1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6</w:t>
            </w:r>
          </w:p>
        </w:tc>
        <w:tc>
          <w:tcPr>
            <w:tcW w:w="3016"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90%（含）以上计6分；</w:t>
              <w:br/>
              <w:t>80%（含）-90%，计4分；</w:t>
              <w:br/>
              <w:t>70%（含）-80%，计2分；</w:t>
              <w:br/>
              <w:t>低于70%计0分。</w:t>
            </w:r>
          </w:p>
        </w:tc>
        <w:tc>
          <w:tcPr>
            <w:tcW w:w="349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5</w:t>
            </w:r>
          </w:p>
        </w:tc>
      </w:tr>
    </w:tbl>
    <w:p>
      <w:pPr>
        <w:spacing w:line="560" w:lineRule="exact"/>
        <w:rPr>
          <w:rFonts w:ascii="仿宋" w:eastAsia="仿宋"/>
          <w:sz w:val="28"/>
          <w:szCs w:val="28"/>
        </w:rPr>
      </w:pPr>
      <w:r>
        <w:rPr>
          <w:rFonts w:ascii="仿宋" w:eastAsia="仿宋"/>
        </w:rPr>
        <w:br w:type="page"/>
      </w:r>
      <w:r>
        <w:rPr>
          <w:rFonts w:ascii="仿宋" w:eastAsia="仿宋"/>
          <w:sz w:val="32"/>
          <w:szCs w:val="32"/>
        </w:rPr>
        <w:t>附件</w:t>
      </w:r>
      <w:r>
        <w:rPr>
          <w:rFonts w:ascii="仿宋" w:eastAsia="仿宋" w:hint="eastAsia"/>
          <w:sz w:val="32"/>
          <w:szCs w:val="32"/>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填报单位：麻阳苗族自治县水上运动学校</w:t>
        <w:tab/>
        <w:tab/>
        <w:tab/>
        <w:tab/>
        <w:tab/>
        <w:tab/>
      </w:r>
    </w:p>
    <w:tbl>
      <w:tblPr>
        <w:jc w:val="center"/>
        <w:tblW w:w="10339"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
      <w:tblGrid>
        <w:gridCol w:w="3550"/>
        <w:gridCol w:w="1190"/>
        <w:gridCol w:w="1170"/>
        <w:gridCol w:w="1130"/>
        <w:gridCol w:w="1465"/>
        <w:gridCol w:w="970"/>
        <w:gridCol w:w="864"/>
      </w:tblGrid>
      <w:tr>
        <w:trPr>
          <w:trHeight w:val="417"/>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20</w:t>
            </w:r>
            <w:r>
              <w:rPr>
                <w:rFonts w:ascii="仿宋" w:eastAsia="仿宋" w:hint="eastAsia"/>
                <w:b/>
                <w:bCs/>
                <w:sz w:val="24"/>
              </w:rPr>
              <w:t>2</w:t>
            </w:r>
            <w:r>
              <w:rPr>
                <w:rFonts w:ascii="仿宋" w:eastAsia="仿宋"/>
                <w:b/>
                <w:bCs/>
                <w:sz w:val="24"/>
              </w:rPr>
              <w:t>1年实际在职人数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rPr>
          <w:trHeight w:val="177"/>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11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11</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100%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20</w:t>
            </w:r>
            <w:r>
              <w:rPr>
                <w:rFonts w:ascii="仿宋" w:eastAsia="仿宋" w:hint="eastAsia"/>
                <w:b/>
                <w:bCs/>
                <w:sz w:val="24"/>
              </w:rPr>
              <w:t>2</w:t>
            </w:r>
            <w:r>
              <w:rPr>
                <w:rFonts w:ascii="仿宋" w:eastAsia="仿宋"/>
                <w:b/>
                <w:bCs/>
                <w:sz w:val="24"/>
              </w:rPr>
              <w:t>1年预算数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20</w:t>
            </w:r>
            <w:r>
              <w:rPr>
                <w:rFonts w:ascii="仿宋" w:eastAsia="仿宋" w:hint="eastAsia"/>
                <w:b/>
                <w:bCs/>
                <w:sz w:val="24"/>
              </w:rPr>
              <w:t>2</w:t>
            </w:r>
            <w:r>
              <w:rPr>
                <w:rFonts w:ascii="仿宋" w:eastAsia="仿宋"/>
                <w:b/>
                <w:bCs/>
                <w:sz w:val="24"/>
              </w:rPr>
              <w:t>1年决算数</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0.24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0.34　</w:t>
            </w:r>
          </w:p>
        </w:tc>
      </w:tr>
      <w:tr>
        <w:trPr>
          <w:trHeight w:val="39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rPr>
                <w:rFonts w:ascii="仿宋" w:eastAsia="仿宋"/>
                <w:sz w:val="24"/>
              </w:rPr>
            </w:pPr>
            <w:r>
              <w:rPr>
                <w:rFonts w:ascii="仿宋" w:eastAsia="仿宋"/>
                <w:sz w:val="24"/>
              </w:rPr>
              <w:t>　    0.24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0.34</w:t>
            </w:r>
            <w:bookmarkStart w:id="0" w:name="_GoBack"/>
            <w:bookmarkEnd w:id="0"/>
            <w:r>
              <w:rPr>
                <w:rFonts w:ascii="仿宋" w:eastAsia="仿宋"/>
                <w:sz w:val="24"/>
              </w:rPr>
              <w:t>　</w:t>
            </w:r>
          </w:p>
        </w:tc>
      </w:tr>
      <w:tr>
        <w:trPr>
          <w:trHeight w:val="39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hint="eastAsia"/>
                <w:sz w:val="24"/>
              </w:rPr>
              <w:t>专</w:t>
            </w:r>
            <w:r>
              <w:rPr>
                <w:rFonts w:ascii="仿宋" w:eastAsia="仿宋"/>
                <w:sz w:val="24"/>
              </w:rPr>
              <w:t>项支出：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12.5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21</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7.53</w:t>
            </w:r>
          </w:p>
        </w:tc>
      </w:tr>
      <w:tr>
        <w:trPr>
          <w:trHeight w:val="39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color w:val="000000"/>
                <w:sz w:val="24"/>
              </w:rPr>
            </w:pPr>
            <w:r>
              <w:rPr>
                <w:rFonts w:ascii="仿宋" w:eastAsia="仿宋"/>
                <w:color w:val="000000"/>
                <w:sz w:val="24"/>
              </w:rPr>
              <w:t>2.4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color w:val="000000"/>
                <w:sz w:val="24"/>
              </w:rPr>
            </w:pPr>
            <w:r>
              <w:rPr>
                <w:rFonts w:ascii="仿宋" w:eastAsia="仿宋"/>
                <w:color w:val="000000"/>
                <w:sz w:val="24"/>
              </w:rPr>
              <w:t>0.28</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color w:val="000000"/>
                <w:sz w:val="24"/>
              </w:rPr>
            </w:pPr>
            <w:r>
              <w:rPr>
                <w:rFonts w:ascii="仿宋" w:eastAsia="仿宋"/>
                <w:color w:val="000000"/>
                <w:sz w:val="24"/>
              </w:rPr>
              <w:t>3.41</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color w:val="000000"/>
                <w:sz w:val="24"/>
              </w:rPr>
            </w:pPr>
            <w:r>
              <w:rPr>
                <w:rFonts w:ascii="仿宋" w:eastAsia="仿宋"/>
                <w:color w:val="000000"/>
                <w:sz w:val="24"/>
              </w:rPr>
              <w:t>3.13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color w:val="000000"/>
                <w:sz w:val="24"/>
              </w:rPr>
            </w:pPr>
            <w:r>
              <w:rPr>
                <w:rFonts w:ascii="仿宋" w:eastAsia="仿宋"/>
                <w:color w:val="000000"/>
                <w:sz w:val="24"/>
              </w:rPr>
              <w:t>5.26</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color w:val="000000"/>
                <w:sz w:val="24"/>
              </w:rPr>
            </w:pPr>
            <w:r>
              <w:rPr>
                <w:rFonts w:ascii="仿宋" w:eastAsia="仿宋"/>
                <w:color w:val="000000"/>
                <w:sz w:val="24"/>
              </w:rPr>
              <w:t>3.99</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color w:val="000000"/>
                <w:sz w:val="24"/>
              </w:rPr>
            </w:pPr>
            <w:r>
              <w:rPr>
                <w:rFonts w:ascii="仿宋" w:eastAsia="仿宋"/>
                <w:color w:val="000000"/>
                <w:sz w:val="24"/>
              </w:rPr>
              <w:t>0.43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color w:val="000000"/>
                <w:sz w:val="24"/>
              </w:rPr>
            </w:pPr>
            <w:r>
              <w:rPr>
                <w:rFonts w:ascii="仿宋" w:eastAsia="仿宋"/>
                <w:color w:val="000000"/>
                <w:sz w:val="24"/>
              </w:rPr>
              <w:t>1</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color w:val="000000"/>
                <w:sz w:val="24"/>
              </w:rPr>
            </w:pP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1154"/>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br/>
              <w:t>（20</w:t>
            </w:r>
            <w:r>
              <w:rPr>
                <w:rFonts w:ascii="仿宋" w:eastAsia="仿宋" w:hint="eastAsia"/>
                <w:sz w:val="24"/>
              </w:rPr>
              <w:t>20</w:t>
            </w:r>
            <w:r>
              <w:rPr>
                <w:rFonts w:ascii="仿宋" w:eastAsia="仿宋"/>
                <w:sz w:val="24"/>
              </w:rPr>
              <w:t>年完工项目）</w:t>
            </w:r>
          </w:p>
        </w:tc>
        <w:tc>
          <w:tcPr>
            <w:tcW w:w="1190"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br/>
              <w:t>（㎡）</w:t>
            </w:r>
          </w:p>
        </w:tc>
        <w:tc>
          <w:tcPr>
            <w:tcW w:w="1170"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rPr>
          <w:trHeight w:val="177"/>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tc>
        <w:tc>
          <w:tcPr>
            <w:tcW w:w="1190"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sz="4" w:space="0" w:color="000000"/>
              <w:right w:val="single" w:sz="4" w:space="0" w:color="00000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rPr>
          <w:trHeight w:val="371"/>
        </w:trPr>
        <w:tc>
          <w:tcPr>
            <w:tcW w:w="3550" w:type="dxa"/>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22"/>
          <w:szCs w:val="22"/>
        </w:rPr>
      </w:pPr>
      <w:r>
        <w:rPr>
          <w:rFonts w:ascii="仿宋" w:eastAsia="仿宋"/>
          <w:sz w:val="22"/>
          <w:szCs w:val="22"/>
        </w:rPr>
        <w:t>说明：“</w:t>
      </w:r>
      <w:r>
        <w:rPr>
          <w:rFonts w:ascii="仿宋" w:eastAsia="仿宋" w:hint="eastAsia"/>
          <w:sz w:val="22"/>
          <w:szCs w:val="22"/>
        </w:rPr>
        <w:t>专</w:t>
      </w:r>
      <w:r>
        <w:rPr>
          <w:rFonts w:ascii="仿宋" w:eastAsia="仿宋"/>
          <w:sz w:val="22"/>
          <w:szCs w:val="22"/>
        </w:rPr>
        <w:t>项支出”需要填报除基本支出以外的所有项目情况，包括业务工作项目、运行维护项目等；“公用经费”填报基本支出中的一般商品和服务支出。</w:t>
      </w:r>
    </w:p>
    <w:p>
      <w:pPr>
        <w:spacing w:line="600" w:lineRule="exact"/>
        <w:rPr>
          <w:rFonts w:ascii="仿宋" w:eastAsia="仿宋"/>
        </w:rPr>
      </w:pPr>
    </w:p>
    <w:p>
      <w:pPr>
        <w:spacing w:line="580" w:lineRule="exact"/>
        <w:rPr>
          <w:rFonts w:ascii="仿宋" w:eastAsia="仿宋"/>
          <w:sz w:val="32"/>
          <w:szCs w:val="32"/>
        </w:rPr>
      </w:pPr>
    </w:p>
    <w:p>
      <w:pPr>
        <w:spacing w:line="500" w:lineRule="exact"/>
        <w:rPr>
          <w:rFonts w:ascii="仿宋" w:eastAsia="仿宋"/>
          <w:sz w:val="32"/>
          <w:szCs w:val="32"/>
        </w:rPr>
      </w:pPr>
    </w:p>
    <w:p>
      <w:pPr>
        <w:spacing w:line="500" w:lineRule="exact"/>
        <w:rPr>
          <w:rFonts w:ascii="仿宋" w:eastAsia="仿宋"/>
          <w:sz w:val="32"/>
          <w:szCs w:val="32"/>
        </w:rPr>
      </w:pPr>
      <w:r>
        <w:rPr>
          <w:rFonts w:ascii="仿宋" w:eastAsia="仿宋"/>
          <w:sz w:val="32"/>
          <w:szCs w:val="32"/>
        </w:rPr>
        <w:t>附件</w:t>
      </w:r>
      <w:r>
        <w:rPr>
          <w:rFonts w:ascii="仿宋" w:eastAsia="仿宋" w:hint="eastAsia"/>
          <w:sz w:val="32"/>
          <w:szCs w:val="32"/>
        </w:rPr>
        <w:t>3</w:t>
      </w:r>
    </w:p>
    <w:p>
      <w:pPr>
        <w:widowControl/>
        <w:ind w:left="93"/>
        <w:jc w:val="center"/>
        <w:rPr>
          <w:rFonts w:ascii="仿宋" w:eastAsia="仿宋"/>
          <w:sz w:val="36"/>
          <w:szCs w:val="36"/>
        </w:rPr>
      </w:pPr>
      <w:r>
        <w:rPr>
          <w:rFonts w:ascii="仿宋" w:eastAsia="仿宋" w:hint="eastAsia"/>
          <w:sz w:val="36"/>
          <w:szCs w:val="36"/>
        </w:rPr>
        <w:t>县</w:t>
      </w:r>
      <w:r>
        <w:rPr>
          <w:rFonts w:ascii="仿宋" w:eastAsia="仿宋"/>
          <w:sz w:val="36"/>
          <w:szCs w:val="36"/>
        </w:rPr>
        <w:t>级财政</w:t>
      </w:r>
      <w:r>
        <w:rPr>
          <w:rFonts w:ascii="仿宋" w:eastAsia="仿宋" w:hint="eastAsia"/>
          <w:sz w:val="36"/>
          <w:szCs w:val="36"/>
        </w:rPr>
        <w:t>重点</w:t>
      </w:r>
      <w:r>
        <w:rPr>
          <w:rFonts w:ascii="仿宋" w:eastAsia="仿宋"/>
          <w:sz w:val="36"/>
          <w:szCs w:val="36"/>
        </w:rPr>
        <w:t>项</w:t>
      </w:r>
      <w:r>
        <w:rPr>
          <w:rFonts w:ascii="仿宋" w:eastAsia="仿宋" w:hint="eastAsia"/>
          <w:sz w:val="36"/>
          <w:szCs w:val="36"/>
        </w:rPr>
        <w:t>目</w:t>
      </w:r>
      <w:r>
        <w:rPr>
          <w:rFonts w:ascii="仿宋" w:eastAsia="仿宋"/>
          <w:sz w:val="36"/>
          <w:szCs w:val="36"/>
        </w:rPr>
        <w:t>资金绩效评价共性指标表</w:t>
      </w:r>
    </w:p>
    <w:p>
      <w:pPr>
        <w:widowControl/>
        <w:tabs>
          <w:tab w:val="left" w:pos="833"/>
          <w:tab w:val="left" w:pos="1533"/>
          <w:tab w:val="left" w:pos="2533"/>
          <w:tab w:val="left" w:pos="4833"/>
        </w:tabs>
        <w:ind w:left="93"/>
        <w:jc w:val="left"/>
        <w:rPr>
          <w:rFonts w:ascii="仿宋" w:eastAsia="仿宋"/>
          <w:sz w:val="24"/>
        </w:rPr>
      </w:pPr>
    </w:p>
    <w:tbl>
      <w:tblPr>
        <w:jc w:val="center"/>
        <w:tblW w:w="10026"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
      <w:tblGrid>
        <w:gridCol w:w="993"/>
        <w:gridCol w:w="1096"/>
        <w:gridCol w:w="313"/>
        <w:gridCol w:w="364"/>
        <w:gridCol w:w="1931"/>
        <w:gridCol w:w="369"/>
        <w:gridCol w:w="4671"/>
        <w:gridCol w:w="289"/>
      </w:tblGrid>
      <w:tr>
        <w:trPr>
          <w:tblHeader/>
        </w:trPr>
        <w:tc>
          <w:tcPr>
            <w:tcW w:w="993" w:type="dxa"/>
            <w:tcBorders>
              <w:top w:val="single" w:sz="4" w:space="0" w:color="000000"/>
              <w:left w:val="single" w:sz="4" w:space="0" w:color="000000"/>
              <w:right w:val="single" w:sz="4" w:space="0" w:color="00000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1096" w:type="dxa"/>
            <w:tcBorders>
              <w:top w:val="single" w:sz="4" w:space="0" w:color="000000"/>
              <w:right w:val="single" w:sz="4" w:space="0" w:color="00000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67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300"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960"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r>
      <w:tr>
        <w:trPr>
          <w:tblHeader/>
        </w:trPr>
        <w:tc>
          <w:tcPr>
            <w:tcW w:w="993" w:type="dxa"/>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96" w:type="dxa"/>
            <w:tcBorders>
              <w:bottom w:val="single" w:sz="4" w:space="0" w:color="000000"/>
              <w:right w:val="single" w:sz="4" w:space="0" w:color="00000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67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tc>
      </w:tr>
      <w:t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投入</w:t>
            </w:r>
          </w:p>
          <w:p>
            <w:pPr>
              <w:widowControl/>
              <w:spacing w:line="280" w:lineRule="exact"/>
              <w:jc w:val="center"/>
              <w:rPr>
                <w:rFonts w:ascii="仿宋" w:eastAsia="仿宋"/>
                <w:sz w:val="20"/>
                <w:szCs w:val="20"/>
              </w:rPr>
            </w:pPr>
            <w:r>
              <w:rPr>
                <w:rFonts w:ascii="仿宋" w:eastAsia="仿宋"/>
                <w:sz w:val="20"/>
                <w:szCs w:val="20"/>
              </w:rPr>
              <w:t>（20分）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项目立项</w:t>
            </w:r>
          </w:p>
          <w:p>
            <w:pPr>
              <w:widowControl/>
              <w:spacing w:line="280" w:lineRule="exact"/>
              <w:jc w:val="center"/>
              <w:rPr>
                <w:rFonts w:ascii="仿宋" w:eastAsia="仿宋"/>
                <w:sz w:val="20"/>
                <w:szCs w:val="20"/>
              </w:rPr>
            </w:pPr>
            <w:r>
              <w:rPr>
                <w:rFonts w:ascii="仿宋" w:eastAsia="仿宋"/>
                <w:sz w:val="20"/>
                <w:szCs w:val="20"/>
              </w:rPr>
              <w:t>（12分）</w:t>
            </w: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项目立项规范性</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项目的申请、设立过程是否符合相关要求，用以反映和考核项目立项的规范情况。</w:t>
            </w: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评价要点：</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①项目是否按照规定的程序申请设立；</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②所提交的文件、材料是否符合相关要求；</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③事前是否已经过必要的可行性研究、专家论证、风险评估、集体决策等。</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绩效目标合理性</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项目所设定的绩效目标是否依椐充分，是否符合客观实际，用以反映和考核项目绩效目标与项目实施的相符情况。</w:t>
            </w: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评价要点：</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①是否符合国家相关法律法规，国民经济发展规划和党委政府决策；</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②是否与项目实施单位或委托单位职责密切相关；</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③项目是否为促进事业发展所必需；</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④项目顸期产出效益和效果是否符合正常的业绩水平。</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绩效指标明确性</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依椐绩效目标设定的绩效指标是否清晰、细化、可衡量等，用以反映和考核项目绩效目标的明细化情况。</w:t>
            </w: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评价要点：</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①是否将项目绩效目标细化分解为具体的绩效指标；</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②是否通过清晰、可衡量的指标值予以体现；</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③是否与项目年度任务</w:t>
            </w:r>
            <w:r>
              <w:rPr>
                <w:rFonts w:ascii="仿宋" w:eastAsia="仿宋" w:hint="eastAsia"/>
                <w:sz w:val="20"/>
                <w:szCs w:val="20"/>
              </w:rPr>
              <w:t>数</w:t>
            </w:r>
            <w:r>
              <w:rPr>
                <w:rFonts w:ascii="仿宋" w:eastAsia="仿宋"/>
                <w:sz w:val="20"/>
                <w:szCs w:val="20"/>
              </w:rPr>
              <w:t>或计划数相对应；</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④是否与预期确定的项目投资额或资金量相匹配。</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资金落实</w:t>
            </w:r>
          </w:p>
          <w:p>
            <w:pPr>
              <w:widowControl/>
              <w:spacing w:line="280" w:lineRule="exact"/>
              <w:jc w:val="center"/>
              <w:rPr>
                <w:rFonts w:ascii="仿宋" w:eastAsia="仿宋"/>
                <w:sz w:val="20"/>
                <w:szCs w:val="20"/>
              </w:rPr>
            </w:pPr>
            <w:r>
              <w:rPr>
                <w:rFonts w:ascii="仿宋" w:eastAsia="仿宋"/>
                <w:sz w:val="20"/>
                <w:szCs w:val="20"/>
              </w:rPr>
              <w:t>（8分）</w:t>
            </w: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资金到位率</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实际到位资金与计划投入资金的比率，用以反映和考核资金落实情况对项目实施的总体保障程度。</w:t>
            </w: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资金到位率=（实际到位资金/计划投入资金）×100%。</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实际到位资金：一定时期（本年度或项目期）内实际落实到具体项目的资金。</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计划投入资金：一定时期（本年度或项目期）内计划投入到具体项目的资金。</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到位及时率</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及时到位资金与应到位资金的比率，用以反映和考核项目资金落实的及时性程度。</w:t>
            </w: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到位及时率＝（及时到位资金/应到位资金）×100%。</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及时到位资金：截至规定时点实际落实到具体项目的资金。</w:t>
            </w:r>
          </w:p>
        </w:tc>
      </w:tr>
      <w:tr>
        <w:trPr>
          <w:trHeight w:val="764"/>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应到位资金：按照合同或项目进度要求截至规定时点应落实到具体项目的资金。</w:t>
            </w:r>
          </w:p>
        </w:tc>
      </w:tr>
      <w:tr>
        <w:trPr>
          <w:trHeight w:val="254"/>
        </w:trPr>
        <w:tc>
          <w:tcPr>
            <w:tcW w:w="993" w:type="dxa"/>
            <w:vMerge w:val="restart"/>
            <w:tcBorders>
              <w:left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过程</w:t>
            </w:r>
          </w:p>
          <w:p>
            <w:pPr>
              <w:widowControl/>
              <w:spacing w:line="280" w:lineRule="exact"/>
              <w:jc w:val="center"/>
              <w:rPr>
                <w:rFonts w:ascii="仿宋" w:eastAsia="仿宋"/>
                <w:sz w:val="20"/>
                <w:szCs w:val="20"/>
              </w:rPr>
            </w:pPr>
            <w:r>
              <w:rPr>
                <w:rFonts w:ascii="仿宋" w:eastAsia="仿宋"/>
                <w:sz w:val="20"/>
                <w:szCs w:val="20"/>
              </w:rPr>
              <w:t>（30分）</w:t>
            </w:r>
          </w:p>
        </w:tc>
        <w:tc>
          <w:tcPr>
            <w:tcW w:w="1096" w:type="dxa"/>
            <w:vMerge w:val="restart"/>
            <w:tcBorders>
              <w:left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业务管理</w:t>
            </w:r>
          </w:p>
          <w:p>
            <w:pPr>
              <w:widowControl/>
              <w:spacing w:line="280" w:lineRule="exact"/>
              <w:jc w:val="center"/>
              <w:rPr>
                <w:rFonts w:ascii="仿宋" w:eastAsia="仿宋"/>
                <w:sz w:val="20"/>
                <w:szCs w:val="20"/>
              </w:rPr>
            </w:pPr>
            <w:r>
              <w:rPr>
                <w:rFonts w:ascii="仿宋" w:eastAsia="仿宋"/>
                <w:sz w:val="20"/>
                <w:szCs w:val="20"/>
              </w:rPr>
              <w:t>（10分）</w:t>
            </w: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管理制度健全性</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项目实施单位的业务管理制度是否健全，用以反映和考核业务管理制度对项目顺利实施的保障情况。</w:t>
            </w: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评价要点：</w:t>
            </w:r>
          </w:p>
        </w:tc>
      </w:tr>
      <w:tr>
        <w:tc>
          <w:tcPr>
            <w:tcW w:w="993" w:type="dxa"/>
            <w:vMerge/>
            <w:tcBorders>
              <w:left w:val="single" w:sz="4" w:space="0" w:color="000000"/>
              <w:right w:val="single" w:sz="4" w:space="0" w:color="000000"/>
            </w:tcBorders>
            <w:tcMar>
              <w:left w:w="108" w:type="dxa"/>
              <w:right w:w="108" w:type="dxa"/>
            </w:tcMar>
            <w:vAlign w:val="center"/>
          </w:tcPr>
          <w:p/>
        </w:tc>
        <w:tc>
          <w:tcPr>
            <w:tcW w:w="1096" w:type="dxa"/>
            <w:vMerge/>
            <w:tcBorders>
              <w:left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①是否已制定或具有相应的业务管理制度；</w:t>
            </w:r>
          </w:p>
        </w:tc>
      </w:tr>
      <w:tr>
        <w:trPr>
          <w:trHeight w:val="836"/>
        </w:trPr>
        <w:tc>
          <w:tcPr>
            <w:tcW w:w="993" w:type="dxa"/>
            <w:vMerge/>
            <w:tcBorders>
              <w:left w:val="single" w:sz="4" w:space="0" w:color="000000"/>
              <w:right w:val="single" w:sz="4" w:space="0" w:color="000000"/>
            </w:tcBorders>
            <w:tcMar>
              <w:left w:w="108" w:type="dxa"/>
              <w:right w:w="108" w:type="dxa"/>
            </w:tcMar>
            <w:vAlign w:val="center"/>
          </w:tcPr>
          <w:p/>
        </w:tc>
        <w:tc>
          <w:tcPr>
            <w:tcW w:w="1096" w:type="dxa"/>
            <w:vMerge/>
            <w:tcBorders>
              <w:left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②业务管理制度是否合法、合规、完整。</w:t>
            </w:r>
          </w:p>
        </w:tc>
      </w:tr>
      <w:tr>
        <w:tc>
          <w:tcPr>
            <w:tcW w:w="993" w:type="dxa"/>
            <w:vMerge/>
            <w:tcBorders>
              <w:left w:val="single" w:sz="4" w:space="0" w:color="000000"/>
              <w:right w:val="single" w:sz="4" w:space="0" w:color="000000"/>
            </w:tcBorders>
            <w:tcMar>
              <w:left w:w="108" w:type="dxa"/>
              <w:right w:w="108" w:type="dxa"/>
            </w:tcMar>
            <w:vAlign w:val="center"/>
          </w:tcPr>
          <w:p/>
        </w:tc>
        <w:tc>
          <w:tcPr>
            <w:tcW w:w="1096" w:type="dxa"/>
            <w:vMerge/>
            <w:tcBorders>
              <w:left w:val="single" w:sz="4" w:space="0" w:color="000000"/>
              <w:right w:val="single" w:sz="4" w:space="0" w:color="000000"/>
            </w:tcBorders>
            <w:tcMar>
              <w:left w:w="108" w:type="dxa"/>
              <w:right w:w="108" w:type="dxa"/>
            </w:tcMar>
            <w:vAlign w:val="center"/>
          </w:tcPr>
          <w:p/>
        </w:tc>
        <w:tc>
          <w:tcPr>
            <w:tcW w:w="677" w:type="dxa"/>
            <w:gridSpan w:val="2"/>
            <w:vMerge w:val="restart"/>
            <w:tcBorders>
              <w:left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sz w:val="20"/>
                <w:szCs w:val="20"/>
              </w:rPr>
            </w:pPr>
            <w:r>
              <w:rPr>
                <w:rFonts w:ascii="仿宋" w:eastAsia="仿宋"/>
                <w:sz w:val="20"/>
                <w:szCs w:val="20"/>
              </w:rPr>
              <w:t>制度执行有效性</w:t>
            </w:r>
          </w:p>
        </w:tc>
        <w:tc>
          <w:tcPr>
            <w:tcW w:w="2300" w:type="dxa"/>
            <w:gridSpan w:val="2"/>
            <w:vMerge w:val="restart"/>
            <w:tcBorders>
              <w:left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项目实施是否符合相关业务管理规定，用以反映和考核业务管理制度的有效执行情况。</w:t>
            </w: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评价要点：</w:t>
            </w:r>
          </w:p>
        </w:tc>
      </w:tr>
      <w:tr>
        <w:tc>
          <w:tcPr>
            <w:tcW w:w="993" w:type="dxa"/>
            <w:vMerge/>
            <w:tcBorders>
              <w:left w:val="single" w:sz="4" w:space="0" w:color="000000"/>
              <w:bottom w:val="single" w:sz="4" w:space="0" w:color="auto"/>
              <w:right w:val="single" w:sz="4" w:space="0" w:color="000000"/>
            </w:tcBorders>
            <w:tcMar>
              <w:left w:w="108" w:type="dxa"/>
              <w:right w:w="108" w:type="dxa"/>
            </w:tcMar>
            <w:vAlign w:val="center"/>
          </w:tcPr>
          <w:p/>
        </w:tc>
        <w:tc>
          <w:tcPr>
            <w:tcW w:w="1096" w:type="dxa"/>
            <w:vMerge/>
            <w:tcBorders>
              <w:left w:val="single" w:sz="4" w:space="0" w:color="000000"/>
              <w:bottom w:val="single" w:sz="4" w:space="0" w:color="auto"/>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auto"/>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auto"/>
              <w:right w:val="single" w:sz="4" w:space="0" w:color="000000"/>
            </w:tcBorders>
            <w:tcMar>
              <w:left w:w="108" w:type="dxa"/>
              <w:right w:w="108" w:type="dxa"/>
            </w:tcMar>
            <w:vAlign w:val="center"/>
          </w:tcPr>
          <w:p/>
        </w:tc>
        <w:tc>
          <w:tcPr>
            <w:tcW w:w="4960" w:type="dxa"/>
            <w:gridSpan w:val="2"/>
            <w:tcBorders>
              <w:bottom w:val="single" w:sz="4" w:space="0" w:color="auto"/>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①是否遵守相关法律法规和业务管理规定；</w:t>
            </w:r>
          </w:p>
        </w:tc>
      </w:tr>
      <w:tr>
        <w:trPr>
          <w:trHeight w:val="525"/>
        </w:trPr>
        <w:tc>
          <w:tcPr>
            <w:tcW w:w="993" w:type="dxa"/>
            <w:vMerge/>
            <w:tcBorders>
              <w:top w:val="single" w:sz="4" w:space="0" w:color="auto"/>
              <w:left w:val="single" w:sz="4" w:space="0" w:color="000000"/>
              <w:bottom w:val="single" w:sz="4" w:space="0" w:color="auto"/>
              <w:right w:val="single" w:sz="4" w:space="0" w:color="000000"/>
            </w:tcBorders>
            <w:tcMar>
              <w:left w:w="108" w:type="dxa"/>
              <w:right w:w="108" w:type="dxa"/>
            </w:tcMar>
            <w:vAlign w:val="center"/>
          </w:tcPr>
          <w:p/>
        </w:tc>
        <w:tc>
          <w:tcPr>
            <w:tcW w:w="1096" w:type="dxa"/>
            <w:vMerge/>
            <w:tcBorders>
              <w:top w:val="single" w:sz="4" w:space="0" w:color="auto"/>
              <w:left w:val="single" w:sz="4" w:space="0" w:color="000000"/>
              <w:bottom w:val="single" w:sz="4" w:space="0" w:color="auto"/>
              <w:right w:val="single" w:sz="4" w:space="0" w:color="000000"/>
            </w:tcBorders>
            <w:tcMar>
              <w:left w:w="108" w:type="dxa"/>
              <w:right w:w="108" w:type="dxa"/>
            </w:tcMar>
            <w:vAlign w:val="center"/>
          </w:tcPr>
          <w:p/>
        </w:tc>
        <w:tc>
          <w:tcPr>
            <w:tcW w:w="677" w:type="dxa"/>
            <w:gridSpan w:val="2"/>
            <w:vMerge/>
            <w:tcBorders>
              <w:top w:val="single" w:sz="4" w:space="0" w:color="auto"/>
              <w:left w:val="single" w:sz="4" w:space="0" w:color="000000"/>
              <w:bottom w:val="single" w:sz="4" w:space="0" w:color="auto"/>
              <w:right w:val="single" w:sz="4" w:space="0" w:color="000000"/>
            </w:tcBorders>
            <w:tcMar>
              <w:left w:w="108" w:type="dxa"/>
              <w:right w:w="108" w:type="dxa"/>
            </w:tcMar>
            <w:vAlign w:val="center"/>
          </w:tcPr>
          <w:p/>
        </w:tc>
        <w:tc>
          <w:tcPr>
            <w:tcW w:w="2300" w:type="dxa"/>
            <w:gridSpan w:val="2"/>
            <w:vMerge/>
            <w:tcBorders>
              <w:top w:val="single" w:sz="4" w:space="0" w:color="auto"/>
              <w:left w:val="single" w:sz="4" w:space="0" w:color="000000"/>
              <w:bottom w:val="single" w:sz="4" w:space="0" w:color="auto"/>
              <w:right w:val="single" w:sz="4" w:space="0" w:color="000000"/>
            </w:tcBorders>
            <w:tcMar>
              <w:left w:w="108" w:type="dxa"/>
              <w:right w:w="108" w:type="dxa"/>
            </w:tcMar>
            <w:vAlign w:val="center"/>
          </w:tcPr>
          <w:p/>
        </w:tc>
        <w:tc>
          <w:tcPr>
            <w:tcW w:w="4960" w:type="dxa"/>
            <w:gridSpan w:val="2"/>
            <w:tcBorders>
              <w:top w:val="single" w:sz="4" w:space="0" w:color="auto"/>
              <w:bottom w:val="single" w:sz="4" w:space="0" w:color="auto"/>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②项目调整及支出调整手续是否完备；</w:t>
            </w:r>
          </w:p>
        </w:tc>
      </w:tr>
      <w:tr>
        <w:trPr>
          <w:trHeight w:val="445"/>
        </w:trPr>
        <w:tc>
          <w:tcPr>
            <w:tcW w:w="993" w:type="dxa"/>
            <w:tcBorders>
              <w:top w:val="single" w:sz="4" w:space="0" w:color="auto"/>
              <w:left w:val="single" w:sz="4" w:space="0" w:color="auto"/>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rPr>
            </w:pPr>
          </w:p>
        </w:tc>
        <w:tc>
          <w:tcPr>
            <w:tcW w:w="1096"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pPr>
              <w:widowControl/>
              <w:spacing w:line="280" w:lineRule="exact"/>
              <w:jc w:val="center"/>
              <w:rPr>
                <w:rFonts w:ascii="仿宋" w:eastAsia="仿宋"/>
              </w:rPr>
            </w:pPr>
          </w:p>
        </w:tc>
        <w:tc>
          <w:tcPr>
            <w:tcW w:w="677" w:type="dxa"/>
            <w:gridSpan w:val="2"/>
            <w:tcBorders>
              <w:top w:val="single" w:sz="4" w:space="0" w:color="auto"/>
              <w:left w:val="single" w:sz="4" w:space="0" w:color="000000"/>
              <w:bottom w:val="single" w:sz="4" w:space="0" w:color="000000"/>
              <w:right w:val="single" w:sz="4" w:space="0" w:color="auto"/>
            </w:tcBorders>
            <w:tcMar>
              <w:left w:w="108" w:type="dxa"/>
              <w:right w:w="108" w:type="dxa"/>
            </w:tcMar>
            <w:vAlign w:val="center"/>
          </w:tcPr>
          <w:p>
            <w:pPr>
              <w:widowControl/>
              <w:spacing w:line="280" w:lineRule="exact"/>
              <w:jc w:val="center"/>
              <w:rPr>
                <w:rFonts w:ascii="仿宋" w:eastAsia="仿宋"/>
              </w:rPr>
            </w:pPr>
          </w:p>
        </w:tc>
        <w:tc>
          <w:tcPr>
            <w:tcW w:w="2300" w:type="dxa"/>
            <w:gridSpan w:val="2"/>
            <w:tcBorders>
              <w:top w:val="single" w:sz="4" w:space="0" w:color="auto"/>
              <w:left w:val="single" w:sz="4" w:space="0" w:color="auto"/>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rPr>
            </w:pPr>
          </w:p>
        </w:tc>
        <w:tc>
          <w:tcPr>
            <w:tcW w:w="4960" w:type="dxa"/>
            <w:gridSpan w:val="2"/>
            <w:tcBorders>
              <w:top w:val="single" w:sz="4" w:space="0" w:color="auto"/>
              <w:right w:val="single" w:sz="4" w:space="0" w:color="000000"/>
            </w:tcBorders>
            <w:tcMar>
              <w:left w:w="108" w:type="dxa"/>
              <w:right w:w="108" w:type="dxa"/>
            </w:tcMar>
            <w:vAlign w:val="center"/>
          </w:tcPr>
          <w:p>
            <w:pPr>
              <w:widowControl/>
              <w:spacing w:line="280" w:lineRule="exact"/>
              <w:rPr>
                <w:rFonts w:ascii="仿宋" w:eastAsia="仿宋"/>
                <w:sz w:val="20"/>
                <w:szCs w:val="20"/>
              </w:rPr>
            </w:pPr>
          </w:p>
        </w:tc>
      </w:tr>
      <w:tr>
        <w:trPr>
          <w:trHeight w:val="100"/>
          <w:gridBefore w:val="3"/>
          <w:wBefore w:w="2402" w:type="dxa"/>
          <w:gridAfter w:val="1"/>
          <w:wAfter w:w="289" w:type="dxa"/>
        </w:trPr>
        <w:tc>
          <w:tcPr>
            <w:tcW w:w="2295" w:type="dxa"/>
            <w:gridSpan w:val="2"/>
            <w:tcBorders>
              <w:top w:val="nil"/>
              <w:left w:val="single" w:sz="4" w:space="0" w:color="auto"/>
            </w:tcBorders>
            <w:shd w:val="clear" w:color="auto" w:fill="auto"/>
            <w:noWrap/>
            <w:tcMar>
              <w:left w:w="108" w:type="dxa"/>
              <w:right w:w="108" w:type="dxa"/>
            </w:tcMar>
          </w:tcPr>
          <w:p>
            <w:pPr>
              <w:rPr>
                <w:rFonts w:ascii="仿宋" w:eastAsia="仿宋"/>
              </w:rPr>
            </w:pPr>
          </w:p>
        </w:tc>
        <w:tc>
          <w:tcPr>
            <w:tcW w:w="5040" w:type="dxa"/>
            <w:gridSpan w:val="2"/>
            <w:tcBorders>
              <w:left w:val="single" w:sz="4" w:space="0" w:color="auto"/>
            </w:tcBorders>
            <w:noWrap/>
            <w:tcMar>
              <w:left w:w="108" w:type="dxa"/>
              <w:right w:w="108" w:type="dxa"/>
            </w:tcMar>
          </w:tcPr>
          <w:p>
            <w:pPr>
              <w:rPr>
                <w:rFonts w:ascii="仿宋" w:eastAsia="仿宋"/>
              </w:rPr>
            </w:pPr>
          </w:p>
        </w:tc>
      </w:tr>
      <w:tr>
        <w:trPr>
          <w:trHeight w:val="463"/>
        </w:trP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pPr>
              <w:rPr>
                <w:rFonts w:ascii="仿宋" w:eastAsia="仿宋"/>
              </w:rPr>
            </w:pP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pPr>
              <w:rPr>
                <w:rFonts w:ascii="仿宋" w:eastAsia="仿宋"/>
              </w:rPr>
            </w:pP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rPr>
                <w:rFonts w:ascii="仿宋" w:eastAsia="仿宋"/>
              </w:rPr>
            </w:pP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rPr>
                <w:rFonts w:ascii="仿宋" w:eastAsia="仿宋"/>
              </w:rPr>
            </w:pPr>
          </w:p>
        </w:tc>
        <w:tc>
          <w:tcPr>
            <w:tcW w:w="4960" w:type="dxa"/>
            <w:gridSpan w:val="2"/>
            <w:tcBorders>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③项目合同书、验收报告、技术审定等资料是否齐全并及时归档;</w:t>
            </w:r>
          </w:p>
        </w:tc>
      </w:tr>
      <w:tr>
        <w:trPr>
          <w:trHeight w:val="433"/>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spacing w:line="280" w:lineRule="exact"/>
              <w:rPr>
                <w:rFonts w:ascii="仿宋" w:eastAsia="仿宋"/>
                <w:sz w:val="20"/>
                <w:szCs w:val="20"/>
              </w:rPr>
            </w:pPr>
            <w:r>
              <w:rPr>
                <w:rFonts w:ascii="仿宋" w:eastAsia="仿宋"/>
                <w:sz w:val="20"/>
                <w:szCs w:val="20"/>
              </w:rPr>
              <w:t>④项目实施的人员条件、场地设备，信息支撑等是否落实到位。</w:t>
            </w:r>
          </w:p>
          <w:p>
            <w:pPr>
              <w:widowControl/>
              <w:spacing w:line="280" w:lineRule="exact"/>
              <w:rPr>
                <w:rFonts w:ascii="仿宋" w:eastAsia="仿宋"/>
                <w:sz w:val="20"/>
                <w:szCs w:val="20"/>
              </w:rPr>
            </w:pPr>
          </w:p>
        </w:tc>
      </w:tr>
      <w:tr>
        <w:tc>
          <w:tcPr>
            <w:tcW w:w="99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jc w:val="center"/>
              <w:rPr>
                <w:rFonts w:ascii="仿宋" w:eastAsia="仿宋"/>
                <w:sz w:val="20"/>
                <w:szCs w:val="20"/>
              </w:rPr>
            </w:pPr>
            <w:r>
              <w:rPr>
                <w:rFonts w:ascii="仿宋" w:eastAsia="仿宋"/>
                <w:sz w:val="20"/>
                <w:szCs w:val="20"/>
              </w:rPr>
              <w:t>过程</w:t>
            </w:r>
          </w:p>
          <w:p>
            <w:pPr>
              <w:jc w:val="center"/>
              <w:rPr>
                <w:rFonts w:ascii="仿宋" w:eastAsia="仿宋"/>
                <w:sz w:val="20"/>
                <w:szCs w:val="20"/>
              </w:rPr>
            </w:pPr>
            <w:r>
              <w:rPr>
                <w:rFonts w:ascii="仿宋" w:eastAsia="仿宋"/>
                <w:sz w:val="20"/>
                <w:szCs w:val="20"/>
              </w:rPr>
              <w:t>（30分）</w:t>
            </w:r>
          </w:p>
        </w:tc>
        <w:tc>
          <w:tcPr>
            <w:tcW w:w="109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jc w:val="left"/>
              <w:rPr>
                <w:rFonts w:ascii="仿宋" w:eastAsia="仿宋"/>
                <w:sz w:val="20"/>
                <w:szCs w:val="20"/>
              </w:rPr>
            </w:pPr>
            <w:r>
              <w:rPr>
                <w:rFonts w:ascii="仿宋" w:eastAsia="仿宋"/>
                <w:sz w:val="20"/>
                <w:szCs w:val="20"/>
              </w:rPr>
              <w:t>业务管理</w:t>
            </w:r>
          </w:p>
          <w:p>
            <w:pPr>
              <w:jc w:val="left"/>
              <w:rPr>
                <w:rFonts w:ascii="仿宋" w:eastAsia="仿宋"/>
                <w:sz w:val="20"/>
                <w:szCs w:val="20"/>
              </w:rPr>
            </w:pP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项目质量可控性</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项目实施单位是否为达到项目质量要求而采取了必需的措施，用以反映和考核项目实施单位对项目质量的控制情况。</w:t>
            </w:r>
          </w:p>
        </w:tc>
        <w:tc>
          <w:tcPr>
            <w:tcW w:w="4960" w:type="dxa"/>
            <w:gridSpan w:val="2"/>
            <w:tcBorders>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评价要点：</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①是否已制定或其有相应的项目质量要求或标准；</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②是否采取了相应的项目质量检查、验收等必需的控制措施或手段。</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财务管理</w:t>
            </w:r>
          </w:p>
          <w:p>
            <w:pPr>
              <w:widowControl/>
              <w:jc w:val="center"/>
              <w:rPr>
                <w:rFonts w:ascii="仿宋" w:eastAsia="仿宋"/>
                <w:sz w:val="20"/>
                <w:szCs w:val="20"/>
              </w:rPr>
            </w:pPr>
            <w:r>
              <w:rPr>
                <w:rFonts w:ascii="仿宋" w:eastAsia="仿宋"/>
                <w:sz w:val="20"/>
                <w:szCs w:val="20"/>
              </w:rPr>
              <w:t>（20分）</w:t>
            </w: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管理制度健全性</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项目实施单位的财务制度是否健全，用以反映和考核财务管理制度对资金规范安全运行的保障情况。</w:t>
            </w: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评价要点：</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①是否已制定或具有相应的项目资金管理办法；</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②项目资金管理办法是否符合相关财务会计制度的规定。</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资金使用合规性</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项目资金使用是否符合相关的财务管理制度规定，用以反映和考核项目资金的规范运行情况。</w:t>
            </w:r>
          </w:p>
        </w:tc>
        <w:tc>
          <w:tcPr>
            <w:tcW w:w="4960" w:type="dxa"/>
            <w:gridSpan w:val="2"/>
            <w:tcBorders>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评价要点：</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①是否符合国家财经法规和财务管理以及有关专项资金管理办法的规定；</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②资金的拨付是否有完整的审批程序和手续；</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③项目的重大开支是否经过评估认证；</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④是否符合项目预算批复或合同规定的用途；</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⑤是否存在截留、挤占、挪用、虚列支出等情况。</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财务监控有效性</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项目实施单位是否为保障资金的安全、规范运行而采取了必要的监控措施，用以反映和考核项目实施单位对资金运行的控制情况。</w:t>
            </w: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评价要点：</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①是否已制定或具有相应的监控机制；</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②是否采取了相应的财务检查等必要的监控措施或手段。</w:t>
            </w:r>
          </w:p>
        </w:tc>
      </w:tr>
      <w:t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产出</w:t>
            </w:r>
          </w:p>
          <w:p>
            <w:pPr>
              <w:widowControl/>
              <w:jc w:val="center"/>
              <w:rPr>
                <w:rFonts w:ascii="仿宋" w:eastAsia="仿宋"/>
                <w:sz w:val="20"/>
                <w:szCs w:val="20"/>
              </w:rPr>
            </w:pPr>
            <w:r>
              <w:rPr>
                <w:rFonts w:ascii="仿宋" w:eastAsia="仿宋"/>
                <w:sz w:val="20"/>
                <w:szCs w:val="20"/>
              </w:rPr>
              <w:t>（30分）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项目产出</w:t>
            </w:r>
          </w:p>
          <w:p>
            <w:pPr>
              <w:widowControl/>
              <w:jc w:val="center"/>
              <w:rPr>
                <w:rFonts w:ascii="仿宋" w:eastAsia="仿宋"/>
                <w:sz w:val="20"/>
                <w:szCs w:val="20"/>
              </w:rPr>
            </w:pPr>
            <w:r>
              <w:rPr>
                <w:rFonts w:ascii="仿宋" w:eastAsia="仿宋"/>
                <w:sz w:val="20"/>
                <w:szCs w:val="20"/>
              </w:rPr>
              <w:t>（30分）</w:t>
            </w: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实际完成率</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项目实施的实际产出数与计划产出数的比率，用以反映和考核项目产出数量目标的实现程度。</w:t>
            </w: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实际完成率＝（实际产出数/计划产出数）×100%。</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实际产出数：一定时期（本年度或项目期）内项目实际产出的产品或提供的服务数。</w:t>
            </w:r>
          </w:p>
        </w:tc>
      </w:tr>
      <w:tr>
        <w:trPr>
          <w:trHeight w:val="707"/>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计划产出数：项目绩效目标确定的在一定时期（本年度或项目期）内计划产出的产品或提供的服务数量。</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完成及时率</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项目实际提前完成时间与计划完成时间的比率，用以反映和考核项目产出时效目标的实现程度</w:t>
            </w: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完成及时率[ (计划完成时间-实际完成时间）/计划完成时间]</w:t>
            </w:r>
            <w:r>
              <w:rPr>
                <w:rFonts w:ascii="宋体" w:cs="宋体" w:hint="eastAsia"/>
                <w:sz w:val="20"/>
                <w:szCs w:val="20"/>
              </w:rPr>
              <w:t> </w:t>
            </w:r>
            <w:r>
              <w:rPr>
                <w:rFonts w:ascii="仿宋" w:eastAsia="仿宋"/>
                <w:sz w:val="20"/>
                <w:szCs w:val="20"/>
              </w:rPr>
              <w:t>×100%。</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实际完成时间：项目实施单位完成该项目实际所耗用的时间。</w:t>
            </w:r>
          </w:p>
        </w:tc>
      </w:tr>
      <w:tr>
        <w:trPr>
          <w:trHeight w:val="641"/>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计划完成时间：</w:t>
            </w:r>
            <w:r>
              <w:rPr>
                <w:rFonts w:ascii="仿宋" w:eastAsia="仿宋" w:hint="eastAsia"/>
                <w:sz w:val="20"/>
                <w:szCs w:val="20"/>
              </w:rPr>
              <w:t>按</w:t>
            </w:r>
            <w:r>
              <w:rPr>
                <w:rFonts w:ascii="仿宋" w:eastAsia="仿宋"/>
                <w:sz w:val="20"/>
                <w:szCs w:val="20"/>
              </w:rPr>
              <w:t>照项目实施计划或相关规定完成该项目所需的时间。</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质量达标率</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项目完成的质量达标产出数与实际产出数的比率，用以反映和考核项目产出质量目标的实现程度。</w:t>
            </w: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质量达标率＝（质量达标产出数/实际产出数）/100%。</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质量达标产出数：一定时期（本年度或项目期）内实际达到既定质量标准的产品或服务数量。</w:t>
            </w:r>
          </w:p>
        </w:tc>
      </w:tr>
      <w:tr>
        <w:trPr>
          <w:trHeight w:hRule="exact" w:val="1121"/>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既定质量标准是指项目实施单位设立绩效目标时依据计划标准、行业标准、历史标准或其他标准而设定的绩效指标值。</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成本节约率</w:t>
            </w:r>
          </w:p>
        </w:tc>
        <w:tc>
          <w:tcPr>
            <w:tcW w:w="230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完成项目计划工作目标的实际节约成本与计划成本的比率，用以反映和考核项目的成本节约程度。</w:t>
            </w: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成本节约率＝(计划成本-实际成本)</w:t>
            </w:r>
            <w:r>
              <w:rPr>
                <w:rFonts w:ascii="宋体" w:cs="宋体" w:hint="eastAsia"/>
                <w:sz w:val="20"/>
                <w:szCs w:val="20"/>
              </w:rPr>
              <w:t> </w:t>
            </w:r>
            <w:r>
              <w:rPr>
                <w:rFonts w:ascii="仿宋" w:eastAsia="仿宋"/>
                <w:sz w:val="20"/>
                <w:szCs w:val="20"/>
              </w:rPr>
              <w:t>/计划成本×100%。</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right w:val="single" w:sz="4" w:space="0" w:color="000000"/>
            </w:tcBorders>
            <w:tcMar>
              <w:left w:w="108" w:type="dxa"/>
              <w:right w:w="108" w:type="dxa"/>
            </w:tcMar>
            <w:vAlign w:val="center"/>
          </w:tcPr>
          <w:p>
            <w:pPr>
              <w:widowControl/>
              <w:jc w:val="left"/>
              <w:rPr>
                <w:rFonts w:ascii="仿宋" w:eastAsia="仿宋"/>
                <w:sz w:val="20"/>
                <w:szCs w:val="20"/>
              </w:rPr>
            </w:pPr>
            <w:r>
              <w:rPr>
                <w:rFonts w:ascii="仿宋" w:eastAsia="仿宋"/>
                <w:sz w:val="20"/>
                <w:szCs w:val="20"/>
              </w:rPr>
              <w:t>实际成本：项目实施单位如期、保质、保量完成既定工作目标实际所耗费的支出。</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230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c>
          <w:tcPr>
            <w:tcW w:w="496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计划成本：项目实施单位为完成工作目标计划安排的支出，一般以项目预算为参考。</w:t>
            </w:r>
          </w:p>
        </w:tc>
      </w:tr>
      <w:t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效果</w:t>
            </w:r>
          </w:p>
          <w:p>
            <w:pPr>
              <w:widowControl/>
              <w:jc w:val="center"/>
              <w:rPr>
                <w:rFonts w:ascii="仿宋" w:eastAsia="仿宋"/>
                <w:sz w:val="20"/>
                <w:szCs w:val="20"/>
              </w:rPr>
            </w:pPr>
            <w:r>
              <w:rPr>
                <w:rFonts w:ascii="仿宋" w:eastAsia="仿宋"/>
                <w:sz w:val="20"/>
                <w:szCs w:val="20"/>
              </w:rPr>
              <w:t>（20分）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项目效益</w:t>
            </w:r>
          </w:p>
          <w:p>
            <w:pPr>
              <w:widowControl/>
              <w:jc w:val="center"/>
              <w:rPr>
                <w:rFonts w:ascii="仿宋" w:eastAsia="仿宋"/>
                <w:sz w:val="20"/>
                <w:szCs w:val="20"/>
              </w:rPr>
            </w:pPr>
            <w:r>
              <w:rPr>
                <w:rFonts w:ascii="仿宋" w:eastAsia="仿宋"/>
                <w:sz w:val="20"/>
                <w:szCs w:val="20"/>
              </w:rPr>
              <w:t>（20分）</w:t>
            </w:r>
          </w:p>
        </w:tc>
        <w:tc>
          <w:tcPr>
            <w:tcW w:w="677" w:type="dxa"/>
            <w:gridSpan w:val="2"/>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经济效益</w:t>
            </w:r>
          </w:p>
        </w:tc>
        <w:tc>
          <w:tcPr>
            <w:tcW w:w="230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项目实施对经济发展所带来的直接或间接影响情况。</w:t>
            </w:r>
          </w:p>
        </w:tc>
        <w:tc>
          <w:tcPr>
            <w:tcW w:w="4960" w:type="dxa"/>
            <w:gridSpan w:val="2"/>
            <w:vMerge w:val="restart"/>
            <w:tcBorders>
              <w:left w:val="single" w:sz="4" w:space="0" w:color="000000"/>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此四项指标为设置项目支出績效评价指标时必须考虑的共性要素，可根据项目实际并结合绩效目标设立情况有选择的进行设置，并将其细化为相应的个性化指标。</w:t>
            </w: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社会效益</w:t>
            </w:r>
          </w:p>
        </w:tc>
        <w:tc>
          <w:tcPr>
            <w:tcW w:w="230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项目实施对社会发展所带来的直接或间接影响情况。</w:t>
            </w:r>
          </w:p>
        </w:tc>
        <w:tc>
          <w:tcPr>
            <w:tcW w:w="496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生态效益</w:t>
            </w:r>
          </w:p>
        </w:tc>
        <w:tc>
          <w:tcPr>
            <w:tcW w:w="230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项目实施对生态环境所带来的直接或间接影响情况。</w:t>
            </w:r>
          </w:p>
        </w:tc>
        <w:tc>
          <w:tcPr>
            <w:tcW w:w="496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可持续影响</w:t>
            </w:r>
          </w:p>
        </w:tc>
        <w:tc>
          <w:tcPr>
            <w:tcW w:w="230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项目后续运行及成效发挥的可持续影响情况。</w:t>
            </w:r>
          </w:p>
        </w:tc>
        <w:tc>
          <w:tcPr>
            <w:tcW w:w="4960" w:type="dxa"/>
            <w:gridSpan w:val="2"/>
            <w:vMerge/>
            <w:tcBorders>
              <w:left w:val="single" w:sz="4" w:space="0" w:color="000000"/>
              <w:bottom w:val="single" w:sz="4" w:space="0" w:color="000000"/>
              <w:right w:val="single" w:sz="4" w:space="0" w:color="000000"/>
            </w:tcBorders>
            <w:tcMar>
              <w:left w:w="108" w:type="dxa"/>
              <w:right w:w="108" w:type="dxa"/>
            </w:tcMar>
            <w:vAlign w:val="center"/>
          </w:tcPr>
          <w:p/>
        </w:tc>
      </w:tr>
      <w:t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tc>
        <w:tc>
          <w:tcPr>
            <w:tcW w:w="677" w:type="dxa"/>
            <w:gridSpan w:val="2"/>
            <w:tcBorders>
              <w:bottom w:val="single" w:sz="4" w:space="0" w:color="000000"/>
              <w:right w:val="single" w:sz="4" w:space="0" w:color="000000"/>
            </w:tcBorders>
            <w:tcMar>
              <w:left w:w="108" w:type="dxa"/>
              <w:right w:w="108" w:type="dxa"/>
            </w:tcMar>
            <w:vAlign w:val="center"/>
          </w:tcPr>
          <w:p>
            <w:pPr>
              <w:widowControl/>
              <w:jc w:val="center"/>
              <w:rPr>
                <w:rFonts w:ascii="仿宋" w:eastAsia="仿宋"/>
                <w:sz w:val="20"/>
                <w:szCs w:val="20"/>
              </w:rPr>
            </w:pPr>
            <w:r>
              <w:rPr>
                <w:rFonts w:ascii="仿宋" w:eastAsia="仿宋"/>
                <w:sz w:val="20"/>
                <w:szCs w:val="20"/>
              </w:rPr>
              <w:t>社会公众或服务对象满意度</w:t>
            </w:r>
          </w:p>
        </w:tc>
        <w:tc>
          <w:tcPr>
            <w:tcW w:w="230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社会公众或服务对象对项目实施效策的满意程度</w:t>
            </w:r>
          </w:p>
        </w:tc>
        <w:tc>
          <w:tcPr>
            <w:tcW w:w="4960" w:type="dxa"/>
            <w:gridSpan w:val="2"/>
            <w:tcBorders>
              <w:bottom w:val="single" w:sz="4" w:space="0" w:color="000000"/>
              <w:right w:val="single" w:sz="4" w:space="0" w:color="000000"/>
            </w:tcBorders>
            <w:tcMar>
              <w:left w:w="108" w:type="dxa"/>
              <w:right w:w="108" w:type="dxa"/>
            </w:tcMar>
            <w:vAlign w:val="center"/>
          </w:tcPr>
          <w:p>
            <w:pPr>
              <w:widowControl/>
              <w:rPr>
                <w:rFonts w:ascii="仿宋" w:eastAsia="仿宋"/>
                <w:sz w:val="20"/>
                <w:szCs w:val="20"/>
              </w:rPr>
            </w:pPr>
            <w:r>
              <w:rPr>
                <w:rFonts w:ascii="仿宋" w:eastAsia="仿宋"/>
                <w:sz w:val="20"/>
                <w:szCs w:val="20"/>
              </w:rPr>
              <w:t>社会公众或服务对象是指因该项目实施而受到影响的部门(单位)、群体或个人。一般采取社会调查的方式。</w:t>
            </w:r>
          </w:p>
        </w:tc>
      </w:tr>
    </w:tbl>
    <w:p>
      <w:pPr>
        <w:spacing w:line="560" w:lineRule="exact"/>
        <w:rPr>
          <w:rFonts w:ascii="仿宋" w:eastAsia="仿宋"/>
          <w:sz w:val="28"/>
          <w:szCs w:val="28"/>
        </w:rPr>
      </w:pPr>
    </w:p>
    <w:p>
      <w:pPr>
        <w:spacing w:line="560" w:lineRule="exact"/>
        <w:rPr>
          <w:rFonts w:ascii="仿宋" w:eastAsia="仿宋"/>
          <w:sz w:val="28"/>
          <w:szCs w:val="28"/>
        </w:rPr>
      </w:pPr>
    </w:p>
    <w:p>
      <w:pPr>
        <w:spacing w:line="560" w:lineRule="exact"/>
        <w:rPr>
          <w:rFonts w:ascii="仿宋" w:eastAsia="仿宋"/>
          <w:sz w:val="28"/>
          <w:szCs w:val="28"/>
        </w:rPr>
      </w:pPr>
    </w:p>
    <w:p/>
    <w:sectPr>
      <w:headerReference w:type="default" r:id="rId2"/>
      <w:footerReference w:type="default" r:id="rId3"/>
      <w:pgSz w:w="11905" w:h="16837"/>
      <w:pgMar w:top="1531" w:right="1304" w:bottom="1531" w:left="1531" w:header="720" w:footer="1701" w:gutter="0"/>
      <w:pgNumType w:start="1"/>
      <w:docGrid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ind w:right="360" w:firstLine="360"/>
    </w:pPr>
    <w:r>
      <mc:AlternateContent>
        <mc:Choice Requires="wps">
          <w:drawing>
            <wp:anchor distT="0" distB="0" distL="0" distR="0" simplePos="0" relativeHeight="12" behindDoc="0" locked="0" layoutInCell="1" hidden="0" allowOverlap="1">
              <wp:simplePos x="0" y="0"/>
              <wp:positionH relativeFrom="margin">
                <wp:align>center</wp:align>
              </wp:positionH>
              <wp:positionV relativeFrom="paragraph">
                <wp:posOffset>686</wp:posOffset>
              </wp:positionV>
              <wp:extent cx="66675" cy="153485"/>
              <wp:effectExtent l="0" t="0" r="0" b="0"/>
              <wp:wrapSquare wrapText="bothSides"/>
              <wp:docPr id="1" name="文本框2"/>
              <wp:cNvGraphicFramePr>
                <a:graphicFrameLocks noChangeAspect="0"/>
              </wp:cNvGraphicFramePr>
              <a:graphic>
                <a:graphicData uri="http://schemas.microsoft.com/office/word/2010/wordprocessingShape">
                  <wps:wsp>
                    <wps:cNvSpPr/>
                    <wps:spPr>
                      <a:xfrm rot="0">
                        <a:off x="0" y="0"/>
                        <a:ext cx="66675" cy="153485"/>
                      </a:xfrm>
                      <a:prstGeom prst="rect"/>
                      <a:noFill/>
                      <a:ln w="9525" cmpd="sng" cap="flat">
                        <a:noFill/>
                        <a:prstDash val="solid"/>
                        <a:miter/>
                      </a:ln>
                    </wps:spPr>
                    <wps:txbx id="2">
                      <w:txbxContent>
                        <w:p>
                          <w:pPr>
                            <w:rPr>
                              <w:rStyle w:val="17"/>
                            </w:rPr>
                          </w:pPr>
                          <w:r>
                            <w:rPr>
                              <w:rStyle w:val="17"/>
                            </w:rPr>
                            <w:fldChar w:fldCharType="begin"/>
                          </w:r>
                          <w:r>
                            <w:rPr>
                              <w:rStyle w:val="17"/>
                            </w:rPr>
                            <w:instrText xml:space="preserve"> PAGE \* Arabic </w:instrText>
                          </w:r>
                          <w:r>
                            <w:rPr>
                              <w:rStyle w:val="17"/>
                            </w:rPr>
                            <w:fldChar w:fldCharType="separate"/>
                          </w:r>
                          <w:r>
                            <w:rPr>
                              <w:rStyle w:val="17"/>
                            </w:rPr>
                            <w:t>6</w:t>
                          </w:r>
                          <w:r>
                            <w:rPr>
                              <w:rStyle w:val="17"/>
                            </w:rPr>
                            <w:fldChar w:fldCharType="end"/>
                          </w:r>
                        </w:p>
                      </w:txbxContent>
                    </wps:txbx>
                    <wps:bodyPr vert="horz" wrap="none" lIns="0" tIns="0" rIns="0" bIns="0" anchor="t" anchorCtr="0" upright="1">
                      <a:spAutoFit/>
                    </wps:bodyPr>
                  </wps:wsp>
                </a:graphicData>
              </a:graphic>
            </wp:anchor>
          </w:drawing>
        </mc:Choice>
        <mc:Fallback>
          <w:pict>
            <v:shape type="#_x0000_t202" id="文本框2 3" o:spid="_x0000_s3" filled="f" stroked="f" style="position:absolute;margin-left:0.0pt;margin-top:0.05405191pt;width:5.2500114pt;height:12.08551pt;z-index:12;mso-position-horizontal:center;mso-position-horizontal-relative:margin;mso-position-vertical:absolute;mso-wrap-distance-left:0.0pt;mso-wrap-distance-right:0.0pt;mso-wrap-style:none;">
              <v:stroke color="#000000"/>
              <v:textbox id="848" inset="0mm,0mm,0mm,0mm" o:insetmode="custom" style="layout-flow:horizontal;v-text-anchor:top;mso-fit-shape-to-text:t;">
                <w:txbxContent>
                  <w:p>
                    <w:pPr>
                      <w:rPr>
                        <w:rStyle w:val="17"/>
                      </w:rPr>
                    </w:pPr>
                    <w:r>
                      <w:rPr>
                        <w:rStyle w:val="17"/>
                      </w:rPr>
                      <w:fldChar w:fldCharType="begin"/>
                    </w:r>
                    <w:r>
                      <w:rPr>
                        <w:rStyle w:val="17"/>
                      </w:rPr>
                      <w:instrText xml:space="preserve"> PAGE \* Arabic </w:instrText>
                    </w:r>
                    <w:r>
                      <w:rPr>
                        <w:rStyle w:val="17"/>
                      </w:rPr>
                      <w:fldChar w:fldCharType="separate"/>
                    </w:r>
                    <w:r>
                      <w:rPr>
                        <w:rStyle w:val="17"/>
                      </w:rPr>
                      <w:t>6</w:t>
                    </w:r>
                    <w:r>
                      <w:rPr>
                        <w:rStyle w:val="17"/>
                      </w:rPr>
                      <w:fldChar w:fldCharType="end"/>
                    </w:r>
                  </w:p>
                </w:txbxContent>
              </v:textbox>
              <w10:wrap type="square"/>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16">
    <w:name w:val="index 7"/>
    <w:basedOn w:val="0"/>
    <w:autoRedefine/>
    <w:next w:val="0"/>
    <w:pPr>
      <w:ind w:left="2520"/>
    </w:pPr>
  </w:style>
  <w:style w:type="character" w:customStyle="1" w:styleId="17">
    <w:name w:val="Page Numb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29</TotalTime>
  <Application>Yozo_Office27021597764231180</Application>
  <Pages>6</Pages>
  <Words>0</Words>
  <Characters>4052</Characters>
  <Lines>0</Lines>
  <Paragraphs>19</Paragraphs>
  <CharactersWithSpaces>5403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cp:lastPrinted>2022-05-23T12:01:43Z</cp:lastPrinted>
  <dcterms:created xsi:type="dcterms:W3CDTF">2020-05-08T06:11:00Z</dcterms:created>
  <dcterms:modified xsi:type="dcterms:W3CDTF">2022-05-23T12:35:08Z</dcterms:modified>
</cp:coreProperties>
</file>