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tLeast"/>
        <w:ind w:firstLine="640"/>
        <w:jc w:val="center"/>
      </w:pPr>
    </w:p>
    <w:p>
      <w:pPr>
        <w:spacing w:line="480" w:lineRule="atLeast"/>
        <w:ind w:firstLine="640"/>
        <w:jc w:val="center"/>
      </w:pPr>
    </w:p>
    <w:p>
      <w:pPr>
        <w:spacing w:line="480" w:lineRule="atLeast"/>
        <w:ind w:firstLine="640"/>
        <w:jc w:val="center"/>
      </w:pPr>
    </w:p>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7"/>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10</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hint="eastAsia" w:ascii="仿宋" w:eastAsia="仿宋"/>
          <w:sz w:val="24"/>
          <w:lang w:val="en-US" w:eastAsia="zh-CN"/>
        </w:rPr>
        <w:t>麻阳苗族自治县文化馆</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7"/>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11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hint="eastAsia" w:ascii="仿宋" w:hAnsi="仿宋" w:eastAsia="仿宋"/>
                <w:sz w:val="24"/>
                <w:lang w:val="en-US" w:eastAsia="zh-CN"/>
              </w:rPr>
              <w:t>11</w:t>
            </w: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hint="eastAsia" w:ascii="仿宋" w:hAnsi="仿宋" w:eastAsia="仿宋"/>
                <w:sz w:val="24"/>
                <w:lang w:val="en-US" w:eastAsia="zh-CN"/>
              </w:rPr>
              <w:t>100%</w:t>
            </w: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b/>
                <w:bCs/>
                <w:kern w:val="2"/>
                <w:sz w:val="24"/>
                <w:szCs w:val="32"/>
                <w:lang w:val="en-US" w:eastAsia="zh-CN" w:bidi="ar-SA"/>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b/>
                <w:bCs/>
                <w:kern w:val="2"/>
                <w:sz w:val="24"/>
                <w:szCs w:val="32"/>
                <w:lang w:val="en-US" w:eastAsia="zh-CN" w:bidi="ar-SA"/>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b/>
                <w:bCs/>
                <w:kern w:val="2"/>
                <w:sz w:val="24"/>
                <w:szCs w:val="32"/>
                <w:lang w:val="en-US" w:eastAsia="zh-CN" w:bidi="ar-SA"/>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hint="eastAsia" w:ascii="仿宋" w:hAnsi="仿宋" w:eastAsia="仿宋"/>
                <w:sz w:val="24"/>
                <w:lang w:val="en-US" w:eastAsia="zh-CN"/>
              </w:rPr>
              <w:t>1.58</w:t>
            </w: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hint="eastAsia" w:ascii="仿宋" w:hAnsi="仿宋" w:eastAsia="仿宋"/>
                <w:sz w:val="24"/>
                <w:lang w:val="en-US" w:eastAsia="zh-CN"/>
              </w:rPr>
              <w:t>0.5</w:t>
            </w: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hint="eastAsia" w:ascii="仿宋" w:hAns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1.58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hint="eastAsia" w:ascii="仿宋" w:hAnsi="仿宋" w:eastAsia="仿宋"/>
                <w:sz w:val="24"/>
                <w:lang w:val="en-US" w:eastAsia="zh-CN"/>
              </w:rPr>
              <w:t>0.5</w:t>
            </w: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hint="eastAsia" w:ascii="仿宋" w:hAnsi="仿宋" w:eastAsia="仿宋"/>
                <w:sz w:val="24"/>
                <w:lang w:val="en-US" w:eastAsia="zh-CN"/>
              </w:rPr>
              <w:t>0</w:t>
            </w: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27.81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6.6</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sz w:val="24"/>
                <w:lang w:val="en-US" w:eastAsia="zh-CN"/>
              </w:rPr>
              <w:t>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5.55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3.53</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22.26</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3.07</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0</w:t>
            </w:r>
            <w:r>
              <w:rPr>
                <w:rFonts w:ascii="仿宋" w:hAns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0</w:t>
            </w:r>
            <w:r>
              <w:rPr>
                <w:rFonts w:ascii="仿宋" w:hAns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7"/>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677"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96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99</w:t>
            </w:r>
            <w:bookmarkStart w:id="0" w:name="_GoBack"/>
            <w:bookmarkEnd w:id="0"/>
          </w:p>
        </w:tc>
      </w:tr>
    </w:tbl>
    <w:p>
      <w:pPr>
        <w:widowControl/>
        <w:ind w:left="93"/>
        <w:jc w:val="left"/>
        <w:rPr>
          <w:rFonts w:hint="eastAsia" w:ascii="黑体" w:eastAsia="黑体"/>
        </w:rPr>
      </w:pPr>
      <w:r>
        <w:rPr>
          <w:rFonts w:hint="eastAsia" w:ascii="黑体" w:eastAsia="黑体"/>
        </w:rPr>
        <w:t>附件</w:t>
      </w:r>
      <w:r>
        <w:rPr>
          <w:rFonts w:ascii="黑体" w:eastAsia="黑体"/>
        </w:rPr>
        <w:t>4</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麻阳苗族自治县文化馆</w:t>
      </w:r>
    </w:p>
    <w:p>
      <w:pPr>
        <w:jc w:val="center"/>
        <w:rPr>
          <w:rFonts w:hint="eastAsia" w:ascii="仿宋_GB2312" w:hAnsi="仿宋_GB2312" w:eastAsia="仿宋_GB2312" w:cs="仿宋_GB2312"/>
          <w:b/>
          <w:bCs/>
          <w:sz w:val="30"/>
          <w:szCs w:val="30"/>
        </w:rPr>
      </w:pPr>
      <w:r>
        <w:rPr>
          <w:rFonts w:hint="eastAsia" w:ascii="方正小标宋简体" w:hAnsi="方正小标宋简体" w:eastAsia="方正小标宋简体" w:cs="方正小标宋简体"/>
          <w:b/>
          <w:bCs/>
          <w:sz w:val="44"/>
          <w:szCs w:val="44"/>
        </w:rPr>
        <w:t>20</w:t>
      </w:r>
      <w:r>
        <w:rPr>
          <w:rFonts w:hint="eastAsia" w:ascii="方正小标宋简体" w:hAnsi="方正小标宋简体" w:eastAsia="方正小标宋简体" w:cs="方正小标宋简体"/>
          <w:b/>
          <w:bCs/>
          <w:sz w:val="44"/>
          <w:szCs w:val="44"/>
          <w:lang w:val="en-US" w:eastAsia="zh-CN"/>
        </w:rPr>
        <w:t>21</w:t>
      </w:r>
      <w:r>
        <w:rPr>
          <w:rFonts w:hint="eastAsia" w:ascii="方正小标宋简体" w:hAnsi="方正小标宋简体" w:eastAsia="方正小标宋简体" w:cs="方正小标宋简体"/>
          <w:b/>
          <w:bCs/>
          <w:sz w:val="44"/>
          <w:szCs w:val="44"/>
        </w:rPr>
        <w:t>年绩效</w:t>
      </w:r>
      <w:r>
        <w:rPr>
          <w:rFonts w:hint="eastAsia" w:ascii="方正小标宋简体" w:hAnsi="方正小标宋简体" w:eastAsia="方正小标宋简体" w:cs="方正小标宋简体"/>
          <w:b/>
          <w:bCs/>
          <w:sz w:val="44"/>
          <w:szCs w:val="44"/>
          <w:lang w:val="en-US" w:eastAsia="zh-CN"/>
        </w:rPr>
        <w:t>自评</w:t>
      </w:r>
      <w:r>
        <w:rPr>
          <w:rFonts w:hint="eastAsia" w:ascii="方正小标宋简体" w:hAnsi="方正小标宋简体" w:eastAsia="方正小标宋简体" w:cs="方正小标宋简体"/>
          <w:b/>
          <w:bCs/>
          <w:sz w:val="44"/>
          <w:szCs w:val="44"/>
        </w:rPr>
        <w:t>报告</w:t>
      </w:r>
    </w:p>
    <w:p>
      <w:pPr>
        <w:widowControl/>
        <w:numPr>
          <w:ilvl w:val="0"/>
          <w:numId w:val="0"/>
        </w:numPr>
        <w:spacing w:line="480" w:lineRule="exact"/>
        <w:ind w:firstLine="643" w:firstLineChars="200"/>
        <w:jc w:val="left"/>
        <w:rPr>
          <w:rFonts w:hint="eastAsia"/>
          <w:b/>
          <w:sz w:val="32"/>
          <w:szCs w:val="32"/>
          <w:lang w:val="en-US" w:eastAsia="zh-CN"/>
        </w:rPr>
      </w:pPr>
      <w:r>
        <w:rPr>
          <w:rFonts w:hint="eastAsia"/>
          <w:b/>
          <w:sz w:val="32"/>
          <w:szCs w:val="32"/>
          <w:lang w:val="en-US" w:eastAsia="zh-CN"/>
        </w:rPr>
        <w:t>一、机构编制人员情况</w:t>
      </w:r>
    </w:p>
    <w:p>
      <w:pPr>
        <w:widowControl/>
        <w:numPr>
          <w:ilvl w:val="0"/>
          <w:numId w:val="0"/>
        </w:numPr>
        <w:spacing w:line="480" w:lineRule="exact"/>
        <w:ind w:firstLine="640" w:firstLineChars="200"/>
        <w:jc w:val="left"/>
        <w:rPr>
          <w:rFonts w:hint="default"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本单位业务股室9个，共有11个事业编制，实有11个事业编制，单位退休人员9人。</w:t>
      </w:r>
    </w:p>
    <w:p>
      <w:pPr>
        <w:widowControl/>
        <w:numPr>
          <w:ilvl w:val="0"/>
          <w:numId w:val="1"/>
        </w:numPr>
        <w:spacing w:line="480" w:lineRule="exact"/>
        <w:ind w:firstLine="643" w:firstLineChars="200"/>
        <w:jc w:val="left"/>
        <w:rPr>
          <w:rFonts w:hint="eastAsia"/>
          <w:b/>
          <w:sz w:val="32"/>
          <w:szCs w:val="32"/>
          <w:lang w:val="en-US" w:eastAsia="zh-CN"/>
        </w:rPr>
      </w:pPr>
      <w:r>
        <w:rPr>
          <w:rFonts w:hint="eastAsia"/>
          <w:b/>
          <w:sz w:val="32"/>
          <w:szCs w:val="32"/>
          <w:lang w:eastAsia="zh-CN"/>
        </w:rPr>
        <w:t>单位</w:t>
      </w:r>
      <w:r>
        <w:rPr>
          <w:rFonts w:hint="eastAsia"/>
          <w:b/>
          <w:sz w:val="32"/>
          <w:szCs w:val="32"/>
          <w:lang w:val="en-US" w:eastAsia="zh-CN"/>
        </w:rPr>
        <w:t>主要</w:t>
      </w:r>
      <w:r>
        <w:rPr>
          <w:rFonts w:hint="eastAsia"/>
          <w:b/>
          <w:sz w:val="32"/>
          <w:szCs w:val="32"/>
          <w:lang w:eastAsia="zh-CN"/>
        </w:rPr>
        <w:t>职能</w:t>
      </w:r>
      <w:r>
        <w:rPr>
          <w:rFonts w:hint="eastAsia"/>
          <w:b/>
          <w:sz w:val="32"/>
          <w:szCs w:val="32"/>
          <w:lang w:val="en-US" w:eastAsia="zh-CN"/>
        </w:rPr>
        <w:t>与年度绩效目标</w:t>
      </w:r>
    </w:p>
    <w:p>
      <w:pPr>
        <w:widowControl/>
        <w:numPr>
          <w:ilvl w:val="0"/>
          <w:numId w:val="0"/>
        </w:numPr>
        <w:spacing w:line="480" w:lineRule="exact"/>
        <w:ind w:firstLine="640" w:firstLineChars="200"/>
        <w:jc w:val="left"/>
        <w:rPr>
          <w:rFonts w:hint="eastAsia" w:ascii="宋体" w:hAnsi="宋体" w:cs="仿宋_GB2312"/>
          <w:color w:val="000000"/>
          <w:kern w:val="0"/>
          <w:sz w:val="32"/>
          <w:szCs w:val="32"/>
        </w:rPr>
      </w:pPr>
      <w:r>
        <w:rPr>
          <w:rFonts w:hint="eastAsia" w:ascii="宋体" w:hAnsi="宋体" w:cs="仿宋_GB2312"/>
          <w:color w:val="000000"/>
          <w:kern w:val="0"/>
          <w:sz w:val="32"/>
          <w:szCs w:val="32"/>
          <w:lang w:val="en-US" w:eastAsia="zh-CN"/>
        </w:rPr>
        <w:t>1.</w:t>
      </w:r>
      <w:r>
        <w:rPr>
          <w:rFonts w:hint="eastAsia" w:ascii="宋体" w:hAnsi="宋体" w:cs="仿宋_GB2312"/>
          <w:color w:val="000000"/>
          <w:kern w:val="0"/>
          <w:sz w:val="32"/>
          <w:szCs w:val="32"/>
        </w:rPr>
        <w:t>丰富和活跃广大群众的文化生活；</w:t>
      </w:r>
    </w:p>
    <w:p>
      <w:pPr>
        <w:widowControl/>
        <w:spacing w:line="480" w:lineRule="exact"/>
        <w:ind w:firstLine="640" w:firstLineChars="200"/>
        <w:jc w:val="left"/>
        <w:rPr>
          <w:rFonts w:hint="eastAsia" w:ascii="宋体" w:hAnsi="宋体" w:cs="仿宋_GB2312"/>
          <w:color w:val="000000"/>
          <w:kern w:val="0"/>
          <w:sz w:val="32"/>
          <w:szCs w:val="32"/>
        </w:rPr>
      </w:pPr>
      <w:r>
        <w:rPr>
          <w:rFonts w:hint="eastAsia" w:ascii="宋体" w:hAnsi="宋体" w:cs="仿宋_GB2312"/>
          <w:color w:val="000000"/>
          <w:kern w:val="0"/>
          <w:sz w:val="32"/>
          <w:szCs w:val="32"/>
          <w:lang w:val="en-US" w:eastAsia="zh-CN"/>
        </w:rPr>
        <w:t>2.</w:t>
      </w:r>
      <w:r>
        <w:rPr>
          <w:rFonts w:hint="eastAsia" w:ascii="宋体" w:hAnsi="宋体" w:cs="仿宋_GB2312"/>
          <w:color w:val="000000"/>
          <w:kern w:val="0"/>
          <w:sz w:val="32"/>
          <w:szCs w:val="32"/>
        </w:rPr>
        <w:t>普及科学文化艺术知识；</w:t>
      </w:r>
    </w:p>
    <w:p>
      <w:pPr>
        <w:widowControl/>
        <w:spacing w:line="480" w:lineRule="exact"/>
        <w:ind w:firstLine="640" w:firstLineChars="200"/>
        <w:jc w:val="left"/>
        <w:rPr>
          <w:rFonts w:hint="eastAsia" w:ascii="宋体" w:hAnsi="宋体" w:cs="仿宋_GB2312"/>
          <w:color w:val="000000"/>
          <w:kern w:val="0"/>
          <w:sz w:val="32"/>
          <w:szCs w:val="32"/>
        </w:rPr>
      </w:pPr>
      <w:r>
        <w:rPr>
          <w:rFonts w:hint="eastAsia" w:ascii="宋体" w:hAnsi="宋体" w:cs="仿宋_GB2312"/>
          <w:color w:val="000000"/>
          <w:kern w:val="0"/>
          <w:sz w:val="32"/>
          <w:szCs w:val="32"/>
          <w:lang w:val="en-US" w:eastAsia="zh-CN"/>
        </w:rPr>
        <w:t>3.</w:t>
      </w:r>
      <w:r>
        <w:rPr>
          <w:rFonts w:hint="eastAsia" w:ascii="宋体" w:hAnsi="宋体" w:cs="仿宋_GB2312"/>
          <w:color w:val="000000"/>
          <w:kern w:val="0"/>
          <w:sz w:val="32"/>
          <w:szCs w:val="32"/>
        </w:rPr>
        <w:t>指导社会文化生活的普及与提高；</w:t>
      </w:r>
    </w:p>
    <w:p>
      <w:pPr>
        <w:widowControl/>
        <w:spacing w:line="480" w:lineRule="exact"/>
        <w:ind w:firstLine="640" w:firstLineChars="200"/>
        <w:jc w:val="left"/>
        <w:rPr>
          <w:rFonts w:hint="eastAsia" w:ascii="宋体" w:hAnsi="宋体" w:cs="仿宋_GB2312"/>
          <w:color w:val="000000"/>
          <w:kern w:val="0"/>
          <w:sz w:val="32"/>
          <w:szCs w:val="32"/>
        </w:rPr>
      </w:pPr>
      <w:r>
        <w:rPr>
          <w:rFonts w:hint="eastAsia" w:ascii="宋体" w:hAnsi="宋体" w:cs="仿宋_GB2312"/>
          <w:color w:val="000000"/>
          <w:kern w:val="0"/>
          <w:sz w:val="32"/>
          <w:szCs w:val="32"/>
          <w:lang w:val="en-US" w:eastAsia="zh-CN"/>
        </w:rPr>
        <w:t>4.</w:t>
      </w:r>
      <w:r>
        <w:rPr>
          <w:rFonts w:hint="eastAsia" w:ascii="宋体" w:hAnsi="宋体" w:cs="仿宋_GB2312"/>
          <w:color w:val="000000"/>
          <w:kern w:val="0"/>
          <w:sz w:val="32"/>
          <w:szCs w:val="32"/>
        </w:rPr>
        <w:t>保护非物质文化遗产；</w:t>
      </w:r>
    </w:p>
    <w:p>
      <w:pPr>
        <w:widowControl/>
        <w:spacing w:line="480" w:lineRule="exact"/>
        <w:ind w:firstLine="640" w:firstLineChars="200"/>
        <w:jc w:val="left"/>
        <w:rPr>
          <w:rFonts w:hint="eastAsia" w:ascii="宋体" w:hAnsi="宋体" w:cs="仿宋_GB2312"/>
          <w:color w:val="000000"/>
          <w:kern w:val="0"/>
          <w:sz w:val="32"/>
          <w:szCs w:val="32"/>
        </w:rPr>
      </w:pPr>
      <w:r>
        <w:rPr>
          <w:rFonts w:hint="eastAsia" w:ascii="宋体" w:hAnsi="宋体" w:cs="仿宋_GB2312"/>
          <w:color w:val="000000"/>
          <w:kern w:val="0"/>
          <w:sz w:val="32"/>
          <w:szCs w:val="32"/>
          <w:lang w:val="en-US" w:eastAsia="zh-CN"/>
        </w:rPr>
        <w:t>5.</w:t>
      </w:r>
      <w:r>
        <w:rPr>
          <w:rFonts w:hint="eastAsia" w:ascii="宋体" w:hAnsi="宋体" w:cs="仿宋_GB2312"/>
          <w:color w:val="000000"/>
          <w:kern w:val="0"/>
          <w:sz w:val="32"/>
          <w:szCs w:val="32"/>
        </w:rPr>
        <w:t>开展社会宣传教育。</w:t>
      </w:r>
    </w:p>
    <w:p>
      <w:pPr>
        <w:widowControl/>
        <w:spacing w:line="480" w:lineRule="exact"/>
        <w:ind w:firstLine="640" w:firstLine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三、年度整体支出及管理情况</w:t>
      </w:r>
    </w:p>
    <w:p>
      <w:pPr>
        <w:widowControl/>
        <w:spacing w:line="480" w:lineRule="exact"/>
        <w:ind w:firstLine="640" w:firstLine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2021年预算总收入139万元，其中年初预算安排130.13万元，上年结转8.87万元。实际总支出137.62万元，全部为基本支出。年度结余1.38万元，财政收回。</w:t>
      </w:r>
    </w:p>
    <w:p>
      <w:pPr>
        <w:widowControl/>
        <w:numPr>
          <w:ilvl w:val="0"/>
          <w:numId w:val="2"/>
        </w:numPr>
        <w:spacing w:line="480" w:lineRule="exact"/>
        <w:ind w:firstLine="640" w:firstLine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基本支出</w:t>
      </w:r>
    </w:p>
    <w:p>
      <w:pPr>
        <w:widowControl/>
        <w:numPr>
          <w:ilvl w:val="0"/>
          <w:numId w:val="0"/>
        </w:numPr>
        <w:spacing w:line="480" w:lineRule="exact"/>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其中工资福利支出125.99万元，商品和服务支出9.49万元，其他对个人和家庭的补助支出2.14万元。</w:t>
      </w:r>
    </w:p>
    <w:p>
      <w:pPr>
        <w:widowControl/>
        <w:numPr>
          <w:ilvl w:val="0"/>
          <w:numId w:val="2"/>
        </w:numPr>
        <w:spacing w:line="480" w:lineRule="exact"/>
        <w:ind w:left="0" w:leftChars="0" w:firstLine="640" w:firstLine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“三公”经费支出情况</w:t>
      </w:r>
    </w:p>
    <w:p>
      <w:pPr>
        <w:widowControl/>
        <w:numPr>
          <w:ilvl w:val="0"/>
          <w:numId w:val="0"/>
        </w:numPr>
        <w:spacing w:line="480" w:lineRule="exact"/>
        <w:ind w:left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“三公”经费年初预算0.5万元，全部为公务接待费，年底因财政资金额度受限，公务接待费未支付。</w:t>
      </w:r>
    </w:p>
    <w:p>
      <w:pPr>
        <w:widowControl/>
        <w:numPr>
          <w:ilvl w:val="0"/>
          <w:numId w:val="2"/>
        </w:numPr>
        <w:spacing w:line="480" w:lineRule="exact"/>
        <w:ind w:left="0" w:leftChars="0" w:firstLine="640" w:firstLineChars="200"/>
        <w:jc w:val="left"/>
        <w:rPr>
          <w:rFonts w:hint="default"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资金管理情况</w:t>
      </w:r>
    </w:p>
    <w:p>
      <w:pPr>
        <w:widowControl/>
        <w:numPr>
          <w:ilvl w:val="0"/>
          <w:numId w:val="0"/>
        </w:numPr>
        <w:spacing w:line="480" w:lineRule="exact"/>
        <w:ind w:left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单位严格按照财政资金管理要求，严格审查各项支出。</w:t>
      </w:r>
    </w:p>
    <w:p>
      <w:pPr>
        <w:widowControl/>
        <w:numPr>
          <w:ilvl w:val="0"/>
          <w:numId w:val="0"/>
        </w:numPr>
        <w:spacing w:line="480" w:lineRule="exact"/>
        <w:ind w:left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四、整体支出绩效目标完成情况</w:t>
      </w:r>
    </w:p>
    <w:p>
      <w:pPr>
        <w:widowControl/>
        <w:numPr>
          <w:ilvl w:val="0"/>
          <w:numId w:val="0"/>
        </w:numPr>
        <w:spacing w:line="480" w:lineRule="exact"/>
        <w:ind w:left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本年度较好的完成了本年的工作目标。</w:t>
      </w:r>
    </w:p>
    <w:p>
      <w:pPr>
        <w:widowControl/>
        <w:numPr>
          <w:ilvl w:val="0"/>
          <w:numId w:val="3"/>
        </w:numPr>
        <w:spacing w:line="480" w:lineRule="exact"/>
        <w:ind w:left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存在的问题</w:t>
      </w:r>
    </w:p>
    <w:p>
      <w:pPr>
        <w:widowControl/>
        <w:numPr>
          <w:ilvl w:val="0"/>
          <w:numId w:val="0"/>
        </w:numPr>
        <w:spacing w:line="480" w:lineRule="exact"/>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无</w:t>
      </w:r>
    </w:p>
    <w:p>
      <w:pPr>
        <w:widowControl/>
        <w:numPr>
          <w:ilvl w:val="0"/>
          <w:numId w:val="3"/>
        </w:numPr>
        <w:spacing w:line="480" w:lineRule="exact"/>
        <w:ind w:left="640" w:leftChars="200" w:firstLine="0" w:firstLineChars="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改进措施与建议</w:t>
      </w:r>
    </w:p>
    <w:p>
      <w:pPr>
        <w:widowControl/>
        <w:numPr>
          <w:ilvl w:val="0"/>
          <w:numId w:val="0"/>
        </w:numPr>
        <w:spacing w:line="480" w:lineRule="exact"/>
        <w:ind w:leftChars="200"/>
        <w:jc w:val="left"/>
        <w:rPr>
          <w:rFonts w:hint="eastAsia" w:ascii="宋体" w:hAnsi="宋体" w:cs="仿宋_GB2312"/>
          <w:color w:val="000000"/>
          <w:kern w:val="0"/>
          <w:sz w:val="32"/>
          <w:szCs w:val="32"/>
          <w:lang w:val="en-US" w:eastAsia="zh-CN"/>
        </w:rPr>
      </w:pPr>
      <w:r>
        <w:rPr>
          <w:rFonts w:hint="eastAsia" w:ascii="宋体" w:hAnsi="宋体" w:cs="仿宋_GB2312"/>
          <w:color w:val="000000"/>
          <w:kern w:val="0"/>
          <w:sz w:val="32"/>
          <w:szCs w:val="32"/>
          <w:lang w:val="en-US" w:eastAsia="zh-CN"/>
        </w:rPr>
        <w:t>无</w:t>
      </w: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425BB"/>
    <w:multiLevelType w:val="singleLevel"/>
    <w:tmpl w:val="82C425BB"/>
    <w:lvl w:ilvl="0" w:tentative="0">
      <w:start w:val="2"/>
      <w:numFmt w:val="chineseCounting"/>
      <w:suff w:val="nothing"/>
      <w:lvlText w:val="%1、"/>
      <w:lvlJc w:val="left"/>
      <w:rPr>
        <w:rFonts w:hint="eastAsia"/>
      </w:rPr>
    </w:lvl>
  </w:abstractNum>
  <w:abstractNum w:abstractNumId="1">
    <w:nsid w:val="A1984BBC"/>
    <w:multiLevelType w:val="singleLevel"/>
    <w:tmpl w:val="A1984BBC"/>
    <w:lvl w:ilvl="0" w:tentative="0">
      <w:start w:val="5"/>
      <w:numFmt w:val="chineseCounting"/>
      <w:suff w:val="nothing"/>
      <w:lvlText w:val="%1、"/>
      <w:lvlJc w:val="left"/>
      <w:rPr>
        <w:rFonts w:hint="eastAsia"/>
      </w:rPr>
    </w:lvl>
  </w:abstractNum>
  <w:abstractNum w:abstractNumId="2">
    <w:nsid w:val="D7E4DBBA"/>
    <w:multiLevelType w:val="singleLevel"/>
    <w:tmpl w:val="D7E4DBBA"/>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ZmJlNzA1NWRkZTZiYThiODY3MWEzZDg4MmM3ZTEifQ=="/>
  </w:docVars>
  <w:rsids>
    <w:rsidRoot w:val="00000000"/>
    <w:rsid w:val="5CA523AB"/>
    <w:rsid w:val="603A2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15</Pages>
  <Words>7057</Words>
  <Characters>7336</Characters>
  <Lines>0</Lines>
  <Paragraphs>120</Paragraphs>
  <TotalTime>6</TotalTime>
  <ScaleCrop>false</ScaleCrop>
  <LinksUpToDate>false</LinksUpToDate>
  <CharactersWithSpaces>7898</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2022-04-24T01:35:00Z</cp:lastPrinted>
  <dcterms:modified xsi:type="dcterms:W3CDTF">2022-05-11T01:39:18Z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994EB0E65E4A497E8E9BE3DE5165F522</vt:lpwstr>
  </property>
</Properties>
</file>