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8"/>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4</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8"/>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kern w:val="1"/>
                <w:sz w:val="24"/>
                <w:szCs w:val="24"/>
                <w:lang w:val="en-US" w:eastAsia="zh-CN" w:bidi="ar-SA"/>
              </w:rPr>
            </w:pPr>
            <w:r>
              <w:rPr>
                <w:rFonts w:hint="eastAsia" w:ascii="仿宋" w:hAnsi="仿宋" w:eastAsia="仿宋" w:cs="Times New Roman"/>
                <w:kern w:val="1"/>
                <w:sz w:val="24"/>
                <w:szCs w:val="24"/>
                <w:lang w:val="en-US" w:eastAsia="zh-CN" w:bidi="ar-SA"/>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cs="Arial"/>
                <w:kern w:val="2"/>
                <w:sz w:val="24"/>
                <w:szCs w:val="32"/>
                <w:lang w:val="en-US" w:eastAsia="zh-CN" w:bidi="ar-SA"/>
              </w:rPr>
              <w:t>3.35</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cs="Arial"/>
                <w:kern w:val="2"/>
                <w:sz w:val="24"/>
                <w:szCs w:val="32"/>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kern w:val="1"/>
                <w:sz w:val="24"/>
                <w:szCs w:val="24"/>
                <w:lang w:val="en-US" w:eastAsia="zh-CN" w:bidi="ar-SA"/>
              </w:rPr>
            </w:pPr>
            <w:r>
              <w:rPr>
                <w:rFonts w:hint="eastAsia" w:ascii="仿宋" w:hAnsi="仿宋" w:eastAsia="仿宋" w:cs="Times New Roman"/>
                <w:kern w:val="1"/>
                <w:sz w:val="24"/>
                <w:szCs w:val="24"/>
                <w:lang w:val="en-US" w:eastAsia="zh-CN" w:bidi="ar-SA"/>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cs="Arial"/>
                <w:kern w:val="2"/>
                <w:sz w:val="24"/>
                <w:szCs w:val="32"/>
                <w:lang w:val="en-US" w:eastAsia="zh-CN" w:bidi="ar-SA"/>
              </w:rPr>
              <w:t>3.35</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cs="Arial"/>
                <w:kern w:val="2"/>
                <w:sz w:val="24"/>
                <w:szCs w:val="32"/>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Times New Roman"/>
                <w:kern w:val="1"/>
                <w:sz w:val="24"/>
                <w:szCs w:val="24"/>
                <w:lang w:val="en-US" w:eastAsia="zh-CN" w:bidi="ar-SA"/>
              </w:rPr>
            </w:pPr>
            <w:r>
              <w:rPr>
                <w:rFonts w:ascii="仿宋" w:hAns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r>
              <w:rPr>
                <w:rFonts w:ascii="仿宋" w:hAns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kern w:val="2"/>
                <w:sz w:val="24"/>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kern w:val="1"/>
                <w:sz w:val="24"/>
                <w:szCs w:val="24"/>
                <w:lang w:val="en-US" w:eastAsia="zh-CN" w:bidi="ar-SA"/>
              </w:rPr>
            </w:pPr>
            <w:r>
              <w:rPr>
                <w:rFonts w:hint="eastAsia" w:ascii="仿宋" w:hAnsi="仿宋" w:eastAsia="仿宋" w:cs="Times New Roman"/>
                <w:kern w:val="1"/>
                <w:sz w:val="24"/>
                <w:szCs w:val="24"/>
                <w:lang w:val="en-US" w:eastAsia="zh-CN" w:bidi="ar-SA"/>
              </w:rPr>
              <w:t>223.74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cs="Arial"/>
                <w:kern w:val="2"/>
                <w:sz w:val="24"/>
                <w:szCs w:val="32"/>
                <w:lang w:val="en-US" w:eastAsia="zh-CN" w:bidi="ar-SA"/>
              </w:rPr>
              <w:t>22.19</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kern w:val="2"/>
                <w:sz w:val="24"/>
                <w:szCs w:val="32"/>
                <w:lang w:val="en-US" w:eastAsia="zh-CN" w:bidi="ar-SA"/>
              </w:rPr>
            </w:pPr>
            <w:r>
              <w:rPr>
                <w:rFonts w:hint="eastAsia" w:ascii="仿宋" w:hAnsi="仿宋" w:eastAsia="仿宋" w:cs="Arial"/>
                <w:kern w:val="2"/>
                <w:sz w:val="24"/>
                <w:szCs w:val="32"/>
                <w:lang w:val="en-US" w:eastAsia="zh-CN" w:bidi="ar-SA"/>
              </w:rPr>
              <w:t>32.12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color w:val="FF0000"/>
                <w:kern w:val="1"/>
                <w:sz w:val="24"/>
                <w:szCs w:val="24"/>
                <w:lang w:val="en-US" w:eastAsia="zh-CN" w:bidi="ar-SA"/>
              </w:rPr>
            </w:pPr>
            <w:r>
              <w:rPr>
                <w:rFonts w:hint="eastAsia" w:ascii="仿宋" w:hAnsi="仿宋" w:eastAsia="仿宋" w:cs="Times New Roman"/>
                <w:color w:val="FF0000"/>
                <w:kern w:val="1"/>
                <w:sz w:val="24"/>
                <w:szCs w:val="24"/>
                <w:lang w:val="en-US" w:eastAsia="zh-CN" w:bidi="ar-SA"/>
              </w:rPr>
              <w:t>9.53</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s="Arial"/>
                <w:color w:val="FF0000"/>
                <w:kern w:val="2"/>
                <w:sz w:val="24"/>
                <w:szCs w:val="32"/>
                <w:lang w:val="en-US" w:eastAsia="zh-CN" w:bidi="ar-SA"/>
              </w:rPr>
              <w:t>0.03</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s="Arial"/>
                <w:color w:val="FF0000"/>
                <w:kern w:val="2"/>
                <w:sz w:val="24"/>
                <w:szCs w:val="32"/>
                <w:lang w:val="en-US" w:eastAsia="zh-CN" w:bidi="ar-SA"/>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color w:val="FF0000"/>
                <w:kern w:val="1"/>
                <w:sz w:val="24"/>
                <w:szCs w:val="24"/>
                <w:lang w:val="en-US" w:eastAsia="zh-CN" w:bidi="ar-SA"/>
              </w:rPr>
            </w:pPr>
            <w:r>
              <w:rPr>
                <w:rFonts w:hint="eastAsia" w:ascii="仿宋" w:hAnsi="仿宋" w:eastAsia="仿宋" w:cs="Times New Roman"/>
                <w:color w:val="FF0000"/>
                <w:kern w:val="1"/>
                <w:sz w:val="24"/>
                <w:szCs w:val="24"/>
                <w:lang w:val="en-US" w:eastAsia="zh-CN" w:bidi="ar-SA"/>
              </w:rPr>
              <w:t>6.56</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s="Arial"/>
                <w:color w:val="FF0000"/>
                <w:kern w:val="2"/>
                <w:sz w:val="24"/>
                <w:szCs w:val="32"/>
                <w:lang w:val="en-US" w:eastAsia="zh-CN" w:bidi="ar-SA"/>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s="Arial"/>
                <w:color w:val="FF0000"/>
                <w:kern w:val="2"/>
                <w:sz w:val="24"/>
                <w:szCs w:val="32"/>
                <w:lang w:val="en-US" w:eastAsia="zh-CN" w:bidi="ar-SA"/>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Times New Roman"/>
                <w:color w:val="FF0000"/>
                <w:kern w:val="1"/>
                <w:sz w:val="24"/>
                <w:szCs w:val="24"/>
                <w:lang w:val="en-US" w:eastAsia="zh-CN" w:bidi="ar-SA"/>
              </w:rPr>
            </w:pPr>
            <w:r>
              <w:rPr>
                <w:rFonts w:hint="eastAsia" w:ascii="仿宋" w:hAnsi="仿宋" w:eastAsia="仿宋" w:cs="Times New Roman"/>
                <w:color w:val="FF0000"/>
                <w:kern w:val="1"/>
                <w:sz w:val="24"/>
                <w:szCs w:val="24"/>
                <w:lang w:val="en-US" w:eastAsia="zh-CN" w:bidi="ar-SA"/>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s="Arial"/>
                <w:color w:val="FF0000"/>
                <w:kern w:val="2"/>
                <w:sz w:val="24"/>
                <w:szCs w:val="32"/>
                <w:lang w:val="en-US" w:eastAsia="zh-CN" w:bidi="ar-SA"/>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hAnsi="仿宋" w:eastAsia="仿宋" w:cs="Arial"/>
                <w:color w:val="FF0000"/>
                <w:kern w:val="2"/>
                <w:sz w:val="24"/>
                <w:szCs w:val="32"/>
                <w:lang w:val="en-US" w:eastAsia="zh-CN" w:bidi="ar-SA"/>
              </w:rPr>
            </w:pPr>
            <w:r>
              <w:rPr>
                <w:rFonts w:hint="eastAsia" w:ascii="仿宋" w:hAnsi="仿宋" w:eastAsia="仿宋" w:cs="Arial"/>
                <w:color w:val="FF0000"/>
                <w:kern w:val="2"/>
                <w:sz w:val="24"/>
                <w:szCs w:val="32"/>
                <w:lang w:val="en-US" w:eastAsia="zh-CN" w:bidi="ar-SA"/>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74.54</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ascii="仿宋" w:eastAsia="仿宋"/>
                <w:sz w:val="24"/>
                <w:lang w:val="en-US" w:eastAsia="zh-CN"/>
              </w:rPr>
              <w:t>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8"/>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96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4</w:t>
            </w:r>
          </w:p>
        </w:tc>
      </w:tr>
    </w:tbl>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r>
        <w:rPr>
          <w:rFonts w:hint="eastAsia" w:ascii="黑体" w:eastAsia="黑体"/>
        </w:rPr>
        <w:t>附件</w:t>
      </w:r>
      <w:r>
        <w:rPr>
          <w:rFonts w:ascii="黑体" w:eastAsia="黑体"/>
        </w:rPr>
        <w:t>4</w:t>
      </w:r>
    </w:p>
    <w:p>
      <w:pPr>
        <w:jc w:val="both"/>
        <w:rPr>
          <w:rFonts w:hint="eastAsia"/>
          <w:b/>
          <w:bCs/>
          <w:sz w:val="44"/>
          <w:szCs w:val="44"/>
        </w:rPr>
      </w:pPr>
    </w:p>
    <w:p>
      <w:pPr>
        <w:keepNext w:val="0"/>
        <w:keepLines w:val="0"/>
        <w:pageBreakBefore w:val="0"/>
        <w:kinsoku/>
        <w:wordWrap/>
        <w:overflowPunct/>
        <w:topLinePunct w:val="0"/>
        <w:autoSpaceDE/>
        <w:autoSpaceDN/>
        <w:bidi w:val="0"/>
        <w:adjustRightInd/>
        <w:snapToGrid/>
        <w:spacing w:line="640" w:lineRule="exact"/>
        <w:jc w:val="center"/>
        <w:textAlignment w:val="auto"/>
        <w:rPr>
          <w:b/>
          <w:bCs/>
          <w:sz w:val="44"/>
          <w:szCs w:val="44"/>
        </w:rPr>
      </w:pPr>
      <w:r>
        <w:rPr>
          <w:rFonts w:hint="eastAsia"/>
          <w:b/>
          <w:bCs/>
          <w:sz w:val="44"/>
          <w:szCs w:val="44"/>
        </w:rPr>
        <w:t>2021年麻阳</w:t>
      </w:r>
      <w:r>
        <w:rPr>
          <w:rFonts w:hint="eastAsia"/>
          <w:b/>
          <w:bCs/>
          <w:sz w:val="44"/>
          <w:szCs w:val="44"/>
          <w:lang w:eastAsia="zh-CN"/>
        </w:rPr>
        <w:t>苗族自治县妇幼保健计划生育服务中心</w:t>
      </w:r>
      <w:r>
        <w:rPr>
          <w:rFonts w:hint="eastAsia"/>
          <w:b/>
          <w:bCs/>
          <w:sz w:val="44"/>
          <w:szCs w:val="44"/>
        </w:rPr>
        <w:t>部门整体支出绩效自评报告</w:t>
      </w:r>
    </w:p>
    <w:p>
      <w:pPr>
        <w:keepNext w:val="0"/>
        <w:keepLines w:val="0"/>
        <w:pageBreakBefore w:val="0"/>
        <w:kinsoku/>
        <w:wordWrap/>
        <w:overflowPunct/>
        <w:topLinePunct w:val="0"/>
        <w:autoSpaceDE/>
        <w:autoSpaceDN/>
        <w:bidi w:val="0"/>
        <w:adjustRightInd/>
        <w:snapToGrid/>
        <w:spacing w:line="640" w:lineRule="exact"/>
        <w:textAlignment w:val="auto"/>
        <w:rPr>
          <w:sz w:val="32"/>
          <w:szCs w:val="32"/>
        </w:rPr>
      </w:pPr>
    </w:p>
    <w:p>
      <w:pPr>
        <w:pStyle w:val="7"/>
        <w:keepNext w:val="0"/>
        <w:keepLines w:val="0"/>
        <w:pageBreakBefore w:val="0"/>
        <w:kinsoku/>
        <w:wordWrap/>
        <w:overflowPunct/>
        <w:topLinePunct w:val="0"/>
        <w:autoSpaceDE/>
        <w:autoSpaceDN/>
        <w:bidi w:val="0"/>
        <w:adjustRightInd/>
        <w:snapToGrid/>
        <w:spacing w:line="640" w:lineRule="exact"/>
        <w:ind w:firstLine="645"/>
        <w:jc w:val="both"/>
        <w:textAlignment w:val="auto"/>
        <w:rPr>
          <w:rFonts w:eastAsia="宋体"/>
          <w:color w:val="414141"/>
          <w:sz w:val="30"/>
          <w:szCs w:val="30"/>
          <w:shd w:val="clear" w:color="auto" w:fill="FFFFFF"/>
        </w:rPr>
      </w:pPr>
      <w:r>
        <w:rPr>
          <w:rFonts w:hint="eastAsia" w:eastAsia="宋体"/>
          <w:spacing w:val="-19"/>
          <w:sz w:val="30"/>
          <w:szCs w:val="30"/>
        </w:rPr>
        <w:t>为切实做好2021年度财政资金绩效自评工作，强化绩效理念，提高财政资金使用效益，</w:t>
      </w:r>
      <w:r>
        <w:rPr>
          <w:rFonts w:hint="eastAsia" w:eastAsia="宋体"/>
          <w:kern w:val="2"/>
          <w:sz w:val="30"/>
          <w:szCs w:val="30"/>
          <w:lang w:val="zh-CN"/>
        </w:rPr>
        <w:t>根据《麻阳苗族自治县财政局关于做好2021年度县级财政资金绩效自评工作的通知》（麻财绩[2022]</w:t>
      </w:r>
      <w:r>
        <w:rPr>
          <w:rFonts w:hint="eastAsia" w:eastAsia="宋体"/>
          <w:kern w:val="2"/>
          <w:sz w:val="30"/>
          <w:szCs w:val="30"/>
        </w:rPr>
        <w:t>1</w:t>
      </w:r>
      <w:r>
        <w:rPr>
          <w:rFonts w:hint="eastAsia" w:eastAsia="宋体"/>
          <w:kern w:val="2"/>
          <w:sz w:val="30"/>
          <w:szCs w:val="30"/>
          <w:lang w:val="zh-CN"/>
        </w:rPr>
        <w:t>号）文件精神，结合实际，现将我单位整体支出项目绩效自评结果报告如下：</w:t>
      </w: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640" w:lineRule="exact"/>
        <w:ind w:left="420" w:leftChars="0" w:right="0" w:rightChars="0"/>
        <w:jc w:val="left"/>
        <w:textAlignment w:val="auto"/>
        <w:outlineLvl w:val="9"/>
        <w:rPr>
          <w:rFonts w:hint="eastAsia" w:ascii="黑体" w:hAnsi="黑体" w:eastAsia="黑体" w:cs="黑体"/>
          <w:b w:val="0"/>
          <w:bCs w:val="0"/>
          <w:kern w:val="1"/>
          <w:sz w:val="32"/>
          <w:szCs w:val="32"/>
          <w:lang w:val="en-US" w:eastAsia="zh-CN" w:bidi="ar-SA"/>
        </w:rPr>
      </w:pPr>
      <w:r>
        <w:rPr>
          <w:rFonts w:hint="eastAsia" w:ascii="黑体" w:hAnsi="黑体" w:eastAsia="黑体" w:cs="黑体"/>
          <w:b w:val="0"/>
          <w:bCs w:val="0"/>
          <w:kern w:val="1"/>
          <w:sz w:val="32"/>
          <w:szCs w:val="32"/>
          <w:lang w:val="en-US" w:eastAsia="zh-CN" w:bidi="ar-SA"/>
        </w:rPr>
        <w:t>一、机构编制人员情况</w:t>
      </w:r>
    </w:p>
    <w:p>
      <w:pPr>
        <w:spacing w:line="56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zh-CN"/>
        </w:rPr>
        <w:t>麻阳苗族自治县妇幼保健计划生育服务中心,为公益服务性事业单位。核定全额拨款事业编制</w:t>
      </w:r>
      <w:r>
        <w:rPr>
          <w:rFonts w:hint="eastAsia" w:ascii="宋体" w:hAnsi="宋体" w:eastAsia="宋体" w:cs="宋体"/>
          <w:sz w:val="30"/>
          <w:szCs w:val="30"/>
          <w:lang w:val="en-US" w:eastAsia="zh-CN"/>
        </w:rPr>
        <w:t>51</w:t>
      </w:r>
      <w:r>
        <w:rPr>
          <w:rFonts w:hint="eastAsia" w:ascii="宋体" w:hAnsi="宋体" w:eastAsia="宋体" w:cs="宋体"/>
          <w:sz w:val="30"/>
          <w:szCs w:val="30"/>
          <w:lang w:val="zh-CN"/>
        </w:rPr>
        <w:t>人（不含乡镇妇幼专干），在职在岗75人，其中全额</w:t>
      </w:r>
      <w:r>
        <w:rPr>
          <w:rFonts w:hint="eastAsia" w:ascii="宋体" w:hAnsi="宋体" w:eastAsia="宋体" w:cs="宋体"/>
          <w:sz w:val="30"/>
          <w:szCs w:val="30"/>
          <w:lang w:val="en-US" w:eastAsia="zh-CN"/>
        </w:rPr>
        <w:t>62</w:t>
      </w:r>
      <w:r>
        <w:rPr>
          <w:rFonts w:hint="eastAsia" w:ascii="宋体" w:hAnsi="宋体" w:eastAsia="宋体" w:cs="宋体"/>
          <w:sz w:val="30"/>
          <w:szCs w:val="30"/>
          <w:lang w:val="zh-CN"/>
        </w:rPr>
        <w:t xml:space="preserve">人(含乡镇妇幼专干22人)，差额 </w:t>
      </w:r>
      <w:r>
        <w:rPr>
          <w:rFonts w:hint="eastAsia" w:ascii="宋体" w:hAnsi="宋体" w:eastAsia="宋体" w:cs="宋体"/>
          <w:sz w:val="30"/>
          <w:szCs w:val="30"/>
          <w:lang w:val="en-US" w:eastAsia="zh-CN"/>
        </w:rPr>
        <w:t>11</w:t>
      </w:r>
      <w:r>
        <w:rPr>
          <w:rFonts w:hint="eastAsia" w:ascii="宋体" w:hAnsi="宋体" w:eastAsia="宋体" w:cs="宋体"/>
          <w:sz w:val="30"/>
          <w:szCs w:val="30"/>
          <w:lang w:val="zh-CN"/>
        </w:rPr>
        <w:t>人，自收自支</w:t>
      </w:r>
      <w:r>
        <w:rPr>
          <w:rFonts w:hint="eastAsia" w:ascii="宋体" w:hAnsi="宋体" w:eastAsia="宋体" w:cs="宋体"/>
          <w:sz w:val="30"/>
          <w:szCs w:val="30"/>
          <w:lang w:val="en-US" w:eastAsia="zh-CN"/>
        </w:rPr>
        <w:t>2</w:t>
      </w:r>
      <w:r>
        <w:rPr>
          <w:rFonts w:hint="eastAsia" w:ascii="宋体" w:hAnsi="宋体" w:eastAsia="宋体" w:cs="宋体"/>
          <w:sz w:val="30"/>
          <w:szCs w:val="30"/>
          <w:lang w:val="zh-CN"/>
        </w:rPr>
        <w:t>人，临时工7人；退休人员</w:t>
      </w:r>
      <w:r>
        <w:rPr>
          <w:rFonts w:hint="eastAsia" w:ascii="宋体" w:hAnsi="宋体" w:eastAsia="宋体" w:cs="宋体"/>
          <w:sz w:val="30"/>
          <w:szCs w:val="30"/>
          <w:lang w:val="en-US" w:eastAsia="zh-CN"/>
        </w:rPr>
        <w:t>46</w:t>
      </w:r>
      <w:r>
        <w:rPr>
          <w:rFonts w:hint="eastAsia" w:ascii="宋体" w:hAnsi="宋体" w:eastAsia="宋体" w:cs="宋体"/>
          <w:sz w:val="30"/>
          <w:szCs w:val="30"/>
          <w:lang w:val="zh-CN"/>
        </w:rPr>
        <w:t>人，遗嘱2人。内设10个职能科室（办公室、基层保健科、健康教育科、妇女保健科、儿童保健科、计划生育技术服务部、门诊部、住院部、医学检验科、医学影像科）</w:t>
      </w:r>
      <w:r>
        <w:rPr>
          <w:rFonts w:hint="eastAsia" w:ascii="宋体" w:hAnsi="宋体" w:eastAsia="宋体" w:cs="宋体"/>
          <w:sz w:val="30"/>
          <w:szCs w:val="30"/>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after="157" w:afterLines="50" w:line="640" w:lineRule="exact"/>
        <w:ind w:left="420" w:leftChars="0" w:right="0" w:rightChars="0"/>
        <w:jc w:val="left"/>
        <w:textAlignment w:val="auto"/>
        <w:outlineLvl w:val="9"/>
        <w:rPr>
          <w:rFonts w:hint="eastAsia" w:ascii="黑体" w:hAnsi="黑体" w:eastAsia="黑体" w:cs="黑体"/>
          <w:b w:val="0"/>
          <w:bCs w:val="0"/>
          <w:kern w:val="1"/>
          <w:sz w:val="32"/>
          <w:szCs w:val="32"/>
          <w:lang w:val="en-US" w:eastAsia="zh-CN" w:bidi="ar-SA"/>
        </w:rPr>
      </w:pPr>
      <w:r>
        <w:rPr>
          <w:rFonts w:hint="eastAsia" w:ascii="黑体" w:hAnsi="黑体" w:eastAsia="黑体" w:cs="黑体"/>
          <w:b w:val="0"/>
          <w:bCs w:val="0"/>
          <w:kern w:val="1"/>
          <w:sz w:val="32"/>
          <w:szCs w:val="32"/>
          <w:lang w:val="en-US" w:eastAsia="zh-CN" w:bidi="ar-SA"/>
        </w:rPr>
        <w:t>单位主要职能与年度绩效目标</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单位职能：</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rPr>
        <w:t>1、</w:t>
      </w:r>
      <w:r>
        <w:rPr>
          <w:rFonts w:hint="eastAsia" w:ascii="宋体" w:hAnsi="宋体" w:eastAsia="宋体" w:cs="宋体"/>
          <w:sz w:val="30"/>
          <w:szCs w:val="30"/>
          <w:lang w:val="zh-CN"/>
        </w:rPr>
        <w:t>履行公共卫生职责，负责辖区内妇女儿童健康状况信息管理，为辖区内妇女儿童提供妇女保健、围产保健、儿童保健、计划生育技术服务等工作，控制孕产妇及5岁以下儿童死亡率。</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lang w:val="zh-CN"/>
        </w:rPr>
        <w:t>2、承担辖区内妇幼保健、母婴保健技术、计划生育服务技术人员的培训工作；负责对本辖区内各级医疗保健机构开展妇幼卫生计生服务质量的检查、考核与评价。</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lang w:val="zh-CN"/>
        </w:rPr>
        <w:t>3、负责对幼儿园、托儿所的卫生保健工作进行评估和监督；负责对入园、入托儿童、托幼机构工作人员卫生保健的监督管理。</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lang w:val="zh-CN"/>
        </w:rPr>
        <w:t>4、承担计划生育宣传教育、技术服务、药具发放、信息咨询、随访服务、生殖保健等。提供优生优育指导和避孕咨询、避孕方法与知情选择。</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lang w:val="zh-CN"/>
        </w:rPr>
        <w:t>5、负责开展婚前与孕前优生优育健康检查和孕期出生缺陷综合防控业务等工作，开展对计划生育手术并发症与计划生育药具不良反应的诊断与治疗。</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lang w:val="zh-CN"/>
        </w:rPr>
        <w:t>6、负责提供妇女儿童的基本医疗服务，包括妇女儿童常见病、多发病的诊治、孕产妇分娩的助产技术等服务。</w:t>
      </w:r>
    </w:p>
    <w:p>
      <w:pPr>
        <w:spacing w:line="520" w:lineRule="exact"/>
        <w:ind w:firstLine="600" w:firstLineChars="200"/>
        <w:rPr>
          <w:rFonts w:hint="eastAsia" w:ascii="宋体" w:hAnsi="宋体" w:eastAsia="宋体" w:cs="宋体"/>
          <w:sz w:val="30"/>
          <w:szCs w:val="30"/>
          <w:lang w:val="zh-CN"/>
        </w:rPr>
      </w:pPr>
      <w:r>
        <w:rPr>
          <w:rFonts w:hint="eastAsia" w:ascii="宋体" w:hAnsi="宋体" w:eastAsia="宋体" w:cs="宋体"/>
          <w:sz w:val="30"/>
          <w:szCs w:val="30"/>
        </w:rPr>
        <w:t>7</w:t>
      </w:r>
      <w:r>
        <w:rPr>
          <w:rFonts w:hint="eastAsia" w:ascii="宋体" w:hAnsi="宋体" w:eastAsia="宋体" w:cs="宋体"/>
          <w:sz w:val="30"/>
          <w:szCs w:val="30"/>
          <w:lang w:val="zh-CN"/>
        </w:rPr>
        <w:t>、负责提供基本医疗服务及常见病、多发病的诊治。</w:t>
      </w:r>
    </w:p>
    <w:p>
      <w:pPr>
        <w:spacing w:line="520" w:lineRule="exact"/>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年度绩效目标：</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县妇幼保健计划生育服务中心全体干部职工认真履行职责、扎实工作。进一步推动麻阳苗族自治县妇幼保健事业又好又快发展。</w:t>
      </w:r>
    </w:p>
    <w:p>
      <w:pPr>
        <w:keepNext w:val="0"/>
        <w:keepLines w:val="0"/>
        <w:pageBreakBefore w:val="0"/>
        <w:kinsoku/>
        <w:wordWrap/>
        <w:overflowPunct/>
        <w:topLinePunct w:val="0"/>
        <w:autoSpaceDE/>
        <w:autoSpaceDN/>
        <w:bidi w:val="0"/>
        <w:adjustRightInd/>
        <w:snapToGrid/>
        <w:spacing w:line="640" w:lineRule="exact"/>
        <w:ind w:firstLine="320" w:firstLineChars="100"/>
        <w:textAlignment w:val="auto"/>
        <w:rPr>
          <w:rFonts w:hint="eastAsia" w:ascii="黑体" w:hAnsi="黑体" w:eastAsia="黑体" w:cs="黑体"/>
          <w:b w:val="0"/>
          <w:bCs w:val="0"/>
          <w:kern w:val="1"/>
          <w:sz w:val="32"/>
          <w:szCs w:val="32"/>
          <w:lang w:val="en-US" w:eastAsia="zh-CN" w:bidi="ar-SA"/>
        </w:rPr>
      </w:pPr>
      <w:r>
        <w:rPr>
          <w:rFonts w:hint="eastAsia" w:ascii="黑体" w:hAnsi="黑体" w:eastAsia="黑体" w:cs="黑体"/>
          <w:b w:val="0"/>
          <w:bCs w:val="0"/>
          <w:kern w:val="1"/>
          <w:sz w:val="32"/>
          <w:szCs w:val="32"/>
          <w:lang w:val="en-US" w:eastAsia="zh-CN" w:bidi="ar-SA"/>
        </w:rPr>
        <w:t>三、2021年度整体支出及管理情况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仿宋_GB2312" w:cs="宋体"/>
          <w:sz w:val="30"/>
          <w:szCs w:val="30"/>
          <w:lang w:val="en-US" w:eastAsia="zh-CN"/>
        </w:rPr>
      </w:pPr>
      <w:r>
        <w:rPr>
          <w:rFonts w:hint="eastAsia" w:ascii="宋体" w:hAnsi="宋体" w:eastAsia="宋体" w:cs="宋体"/>
          <w:sz w:val="30"/>
          <w:szCs w:val="30"/>
          <w:lang w:val="en-US" w:eastAsia="zh-CN"/>
        </w:rPr>
        <w:t>2021年预算总收入1294.27万元，其中年初预算安排1059.45万元，上年结转收入120.8万元，年度预算追加114.02万元。实际总支出1287.88万元，基本支出852.29万元，</w:t>
      </w:r>
      <w:r>
        <w:t>占年初预算基本支出</w:t>
      </w:r>
      <w:r>
        <w:rPr>
          <w:rFonts w:hint="eastAsia"/>
          <w:lang w:eastAsia="zh-CN"/>
        </w:rPr>
        <w:t>的</w:t>
      </w:r>
      <w:r>
        <w:rPr>
          <w:rFonts w:hint="eastAsia"/>
          <w:lang w:val="en-US" w:eastAsia="zh-CN"/>
        </w:rPr>
        <w:t>79.75</w:t>
      </w:r>
      <w:r>
        <w:t>%</w:t>
      </w:r>
      <w:r>
        <w:rPr>
          <w:rFonts w:hint="eastAsia"/>
          <w:lang w:eastAsia="zh-CN"/>
        </w:rPr>
        <w:t>，</w:t>
      </w:r>
      <w:r>
        <w:rPr>
          <w:rFonts w:hint="eastAsia" w:ascii="宋体" w:hAnsi="宋体" w:eastAsia="宋体" w:cs="宋体"/>
          <w:sz w:val="30"/>
          <w:szCs w:val="30"/>
          <w:lang w:val="en-US" w:eastAsia="zh-CN"/>
        </w:rPr>
        <w:t>项目支出435.59万元，</w:t>
      </w:r>
      <w:r>
        <w:t>占年初预算项目支出的</w:t>
      </w:r>
      <w:r>
        <w:rPr>
          <w:rFonts w:hint="eastAsia"/>
          <w:lang w:val="en-US" w:eastAsia="zh-CN"/>
        </w:rPr>
        <w:t>390.66</w:t>
      </w:r>
      <w:r>
        <w:t>%</w:t>
      </w:r>
      <w:r>
        <w:rPr>
          <w:rFonts w:hint="eastAsia"/>
          <w:lang w:eastAsia="zh-CN"/>
        </w:rPr>
        <w:t>。</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1.基本支出情况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基本支出1068.75万元，其中工资福利支出946.66万元，商品和服务支出120.43万元，对个人和家庭的补助支出1.66万元。</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2.“三公”经费支出情况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“三公”经费年初预算3.35万元，全部为公务接待费。实际“三公”经费支出0万元。</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3.资金管理情况</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rPr>
      </w:pPr>
      <w:r>
        <w:rPr>
          <w:rFonts w:hint="eastAsia" w:ascii="宋体" w:hAnsi="宋体" w:eastAsia="宋体" w:cs="宋体"/>
          <w:sz w:val="30"/>
          <w:szCs w:val="30"/>
        </w:rPr>
        <w:t>本单位通过健全完善资金管理制度，严格执行各项资金管理制度，加强单位资金管理，强化内部会计控制，加强经济活动的风险防范和管理，提高财务人员综合素质等诸多措施.加强本单位的资金管理，提高经济效益，促进本单位持续、健康、稳定的发展。</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四、整体支出绩效目标完成情况</w:t>
      </w:r>
    </w:p>
    <w:p>
      <w:pPr>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综合以上各项指标，财务管理健全规范、没有发生违法违规现象，我</w:t>
      </w:r>
      <w:r>
        <w:rPr>
          <w:rFonts w:hint="eastAsia" w:ascii="宋体" w:hAnsi="宋体" w:eastAsia="宋体" w:cs="宋体"/>
          <w:sz w:val="30"/>
          <w:szCs w:val="30"/>
          <w:lang w:eastAsia="zh-CN"/>
        </w:rPr>
        <w:t>局</w:t>
      </w:r>
      <w:r>
        <w:rPr>
          <w:rFonts w:hint="eastAsia" w:ascii="宋体" w:hAnsi="宋体" w:eastAsia="宋体" w:cs="宋体"/>
          <w:sz w:val="30"/>
          <w:szCs w:val="30"/>
        </w:rPr>
        <w:t>的部门整体支出绩效自我评价得分</w:t>
      </w:r>
      <w:r>
        <w:rPr>
          <w:rFonts w:hint="eastAsia" w:ascii="宋体" w:hAnsi="宋体" w:eastAsia="宋体" w:cs="宋体"/>
          <w:sz w:val="30"/>
          <w:szCs w:val="30"/>
          <w:lang w:val="en-US" w:eastAsia="zh-CN"/>
        </w:rPr>
        <w:t>86</w:t>
      </w:r>
      <w:r>
        <w:rPr>
          <w:rFonts w:hint="eastAsia" w:ascii="宋体" w:hAnsi="宋体" w:eastAsia="宋体" w:cs="宋体"/>
          <w:sz w:val="30"/>
          <w:szCs w:val="30"/>
        </w:rPr>
        <w:t>分</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较好的完成了整体支出绩效目标。</w:t>
      </w: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年在县财政局的正确领导下，我单位坚持稳中求进，积极作为，在各方面工作中严格要求。在今后的工作中严</w:t>
      </w:r>
      <w:bookmarkStart w:id="0" w:name="_GoBack"/>
      <w:bookmarkEnd w:id="0"/>
      <w:r>
        <w:rPr>
          <w:rFonts w:hint="eastAsia" w:ascii="宋体" w:hAnsi="宋体" w:eastAsia="宋体" w:cs="宋体"/>
          <w:sz w:val="30"/>
          <w:szCs w:val="30"/>
        </w:rPr>
        <w:t>格执行《党政机关厉行节约反对浪费条例》和公务支出管理制度，控制“三公”经费，提高资金使用效率.</w:t>
      </w:r>
    </w:p>
    <w:p>
      <w:pPr>
        <w:spacing w:line="520" w:lineRule="exact"/>
        <w:ind w:firstLine="600" w:firstLineChars="200"/>
        <w:rPr>
          <w:rFonts w:hint="eastAsia" w:ascii="宋体" w:hAnsi="宋体" w:eastAsia="宋体" w:cs="宋体"/>
          <w:b/>
          <w:bCs/>
          <w:sz w:val="30"/>
          <w:szCs w:val="30"/>
        </w:rPr>
      </w:pPr>
      <w:r>
        <w:rPr>
          <w:rFonts w:hint="eastAsia" w:ascii="宋体" w:hAnsi="宋体" w:eastAsia="宋体" w:cs="宋体"/>
          <w:sz w:val="30"/>
          <w:szCs w:val="30"/>
        </w:rPr>
        <w:t>1、本单位整体支出绩效目标实现情况：（</w:t>
      </w:r>
      <w:r>
        <w:rPr>
          <w:rFonts w:hint="eastAsia" w:ascii="宋体" w:hAnsi="宋体" w:eastAsia="宋体" w:cs="宋体"/>
          <w:sz w:val="30"/>
          <w:szCs w:val="30"/>
          <w:lang w:val="zh-CN"/>
        </w:rPr>
        <w:t>1）、履行了公共卫生职责，完成辖区内妇女儿童健康状况信息管理，为辖区内妇女儿童提供妇女保健、围产保健、儿童保健、计划生育技术服务等工作，控制孕产妇及5岁以下儿童死亡率。</w:t>
      </w:r>
      <w:r>
        <w:rPr>
          <w:rFonts w:hint="eastAsia" w:ascii="宋体" w:hAnsi="宋体" w:eastAsia="宋体" w:cs="宋体"/>
          <w:sz w:val="30"/>
          <w:szCs w:val="30"/>
        </w:rPr>
        <w:t>（</w:t>
      </w:r>
      <w:r>
        <w:rPr>
          <w:rFonts w:hint="eastAsia" w:ascii="宋体" w:hAnsi="宋体" w:eastAsia="宋体" w:cs="宋体"/>
          <w:sz w:val="30"/>
          <w:szCs w:val="30"/>
          <w:lang w:val="zh-CN"/>
        </w:rPr>
        <w:t>2）、完成辖区内妇幼保健、母婴保健技术、计划生育服务技术人员的培训工作；完成对本辖区内各级医疗保健机构开展妇幼卫生计生服务质量的检查、考核与评价。（3）、完成对幼儿园、托儿所的卫生保健工作进行评估和监督；完成对入园、入托儿童、托幼机构工作人员卫生保健的监督管理。（4）、完成计划生育宣传教育、技术服务、药具发放、信息咨询、随访服务、生殖保健等。提供优生优育指导和避孕咨询、避孕方法与知情选择。（5）、完成开展婚前与孕前优生优育健康检查和孕期出生缺陷综合防控业务等工作，开展对计划生育手术并发症与计划生育药具不良反应的诊断与治疗。（6）、负责提供妇女儿童的基本医疗服务，包括妇女儿童常见病、多发病的诊治、孕产妇分娩的助产技术等服务。（</w:t>
      </w:r>
      <w:r>
        <w:rPr>
          <w:rFonts w:hint="eastAsia" w:ascii="宋体" w:hAnsi="宋体" w:eastAsia="宋体" w:cs="宋体"/>
          <w:sz w:val="30"/>
          <w:szCs w:val="30"/>
        </w:rPr>
        <w:t>7）</w:t>
      </w:r>
      <w:r>
        <w:rPr>
          <w:rFonts w:hint="eastAsia" w:ascii="宋体" w:hAnsi="宋体" w:eastAsia="宋体" w:cs="宋体"/>
          <w:sz w:val="30"/>
          <w:szCs w:val="30"/>
          <w:lang w:val="zh-CN"/>
        </w:rPr>
        <w:t>、负责提供基本医疗服务及常见病、多发病的诊治。</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rPr>
      </w:pPr>
      <w:r>
        <w:rPr>
          <w:rFonts w:hint="eastAsia" w:ascii="宋体" w:hAnsi="宋体" w:eastAsia="宋体" w:cs="宋体"/>
          <w:sz w:val="30"/>
          <w:szCs w:val="30"/>
        </w:rPr>
        <w:t>2、</w:t>
      </w:r>
      <w:r>
        <w:rPr>
          <w:rFonts w:hint="eastAsia" w:ascii="宋体" w:hAnsi="宋体" w:eastAsia="宋体" w:cs="宋体"/>
          <w:sz w:val="30"/>
          <w:szCs w:val="30"/>
          <w:lang w:val="zh-CN"/>
        </w:rPr>
        <w:t>我中心本年度其中主要项目支出绩效目标完成情况：</w:t>
      </w:r>
      <w:r>
        <w:rPr>
          <w:rFonts w:hint="eastAsia" w:ascii="宋体" w:hAnsi="宋体" w:eastAsia="宋体" w:cs="宋体"/>
          <w:sz w:val="30"/>
          <w:szCs w:val="30"/>
        </w:rPr>
        <w:t>1.预防农村妇女“两癌”的发病率，免费筛查完成指标达100%。2.免费产前筛查：提高孕产妇的产前筛查率，降低出生缺陷发生风险，提高出生人口素质；免费产前筛查完成指标达10</w:t>
      </w:r>
      <w:r>
        <w:rPr>
          <w:rFonts w:hint="eastAsia" w:ascii="宋体" w:hAnsi="宋体" w:eastAsia="宋体" w:cs="宋体"/>
          <w:sz w:val="30"/>
          <w:szCs w:val="30"/>
          <w:lang w:val="en-US" w:eastAsia="zh-CN"/>
        </w:rPr>
        <w:t>0</w:t>
      </w:r>
      <w:r>
        <w:rPr>
          <w:rFonts w:hint="eastAsia" w:ascii="宋体" w:hAnsi="宋体" w:eastAsia="宋体" w:cs="宋体"/>
          <w:sz w:val="30"/>
          <w:szCs w:val="30"/>
        </w:rPr>
        <w:t>%。3.免费婚前医学检查项目：婚检年度检查率达8</w:t>
      </w:r>
      <w:r>
        <w:rPr>
          <w:rFonts w:hint="eastAsia" w:ascii="宋体" w:hAnsi="宋体" w:eastAsia="宋体" w:cs="宋体"/>
          <w:sz w:val="30"/>
          <w:szCs w:val="30"/>
          <w:lang w:val="en-US" w:eastAsia="zh-CN"/>
        </w:rPr>
        <w:t>6</w:t>
      </w:r>
      <w:r>
        <w:rPr>
          <w:rFonts w:hint="eastAsia" w:ascii="宋体" w:hAnsi="宋体" w:eastAsia="宋体" w:cs="宋体"/>
          <w:sz w:val="30"/>
          <w:szCs w:val="30"/>
        </w:rPr>
        <w:t>.01%以上。</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五、存在的问题</w:t>
      </w:r>
    </w:p>
    <w:p>
      <w:pPr>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1.年初项目资金都没有到位，每年都有单位垫付，所以年中支出大于收入。</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2.妇幼保健和计划生育服务宣传教育的对象面广.文化素质差异大，层次复杂，年龄跨度大，在市场经济条件下，农村外出务工人员越来越多，对流动人员的妇幼保健和计划生育工作存在不好管理和流动问题。妇幼保健和计生服务队伍进一步优化，面对新形势和新任务缺乏创新手段和方法。</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六、改进措施与建议</w:t>
      </w:r>
    </w:p>
    <w:p>
      <w:pPr>
        <w:spacing w:line="520" w:lineRule="exact"/>
        <w:ind w:firstLine="640"/>
        <w:rPr>
          <w:rFonts w:hint="eastAsia" w:ascii="宋体" w:hAnsi="宋体" w:eastAsia="宋体" w:cs="宋体"/>
          <w:sz w:val="30"/>
          <w:szCs w:val="30"/>
        </w:rPr>
      </w:pPr>
      <w:r>
        <w:rPr>
          <w:rFonts w:hint="eastAsia" w:ascii="宋体" w:hAnsi="宋体" w:eastAsia="宋体" w:cs="宋体"/>
          <w:sz w:val="30"/>
          <w:szCs w:val="30"/>
        </w:rPr>
        <w:t>1、强化内部管理，进一步完善管理制度，优化服务环境，整合资源，组建有妇幼保健计划生育特色，管理科学规范，技术精湛服务环境幽雅的妇幼保健与计划生育服务中心。</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eastAsia="zh-CN"/>
        </w:rPr>
      </w:pPr>
      <w:r>
        <w:rPr>
          <w:rFonts w:hint="eastAsia" w:ascii="宋体" w:hAnsi="宋体" w:eastAsia="宋体" w:cs="宋体"/>
          <w:sz w:val="30"/>
          <w:szCs w:val="30"/>
        </w:rPr>
        <w:t>2、建议县级预算安排好经费，确保实施到位。</w:t>
      </w:r>
      <w:r>
        <w:rPr>
          <w:rFonts w:hint="eastAsia" w:ascii="宋体" w:hAnsi="宋体" w:eastAsia="宋体" w:cs="宋体"/>
          <w:sz w:val="30"/>
          <w:szCs w:val="30"/>
          <w:lang w:val="en-US" w:eastAsia="zh-CN"/>
        </w:rPr>
        <w:t>。</w:t>
      </w:r>
    </w:p>
    <w:p>
      <w:pPr>
        <w:ind w:firstLine="640"/>
        <w:rPr>
          <w:rFonts w:hint="eastAsia" w:ascii="宋体" w:hAnsi="宋体" w:eastAsia="宋体" w:cs="宋体"/>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20" w:lineRule="exact"/>
        <w:ind w:right="0" w:rightChars="0"/>
        <w:jc w:val="left"/>
        <w:textAlignment w:val="auto"/>
        <w:outlineLvl w:val="9"/>
        <w:rPr>
          <w:rFonts w:hint="eastAsia" w:ascii="黑体" w:hAnsi="黑体" w:eastAsia="黑体" w:cs="黑体"/>
          <w:b w:val="0"/>
          <w:bCs w:val="0"/>
          <w:kern w:val="1"/>
          <w:sz w:val="32"/>
          <w:szCs w:val="32"/>
          <w:lang w:val="en-US" w:eastAsia="zh-CN" w:bidi="ar-SA"/>
        </w:rPr>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F6EE8"/>
    <w:multiLevelType w:val="singleLevel"/>
    <w:tmpl w:val="2C3F6E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ZjVlNGNkOTJlNmVjNTE0NTU1MTkwZDNjZGYxOTEifQ=="/>
  </w:docVars>
  <w:rsids>
    <w:rsidRoot w:val="00000000"/>
    <w:rsid w:val="0E1B07D6"/>
    <w:rsid w:val="2CC84914"/>
    <w:rsid w:val="3F521027"/>
    <w:rsid w:val="582D25AE"/>
    <w:rsid w:val="5CA523AB"/>
    <w:rsid w:val="6476737B"/>
    <w:rsid w:val="70D26F07"/>
    <w:rsid w:val="7BAF1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12</Pages>
  <Words>5618</Words>
  <Characters>5943</Characters>
  <Lines>0</Lines>
  <Paragraphs>120</Paragraphs>
  <TotalTime>3</TotalTime>
  <ScaleCrop>false</ScaleCrop>
  <LinksUpToDate>false</LinksUpToDate>
  <CharactersWithSpaces>6366</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2022-04-24T01:35:00Z</cp:lastPrinted>
  <dcterms:modified xsi:type="dcterms:W3CDTF">2022-05-12T07:27:01Z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63A2625125E840ED9178A3D8679E7C0A</vt:lpwstr>
  </property>
</Properties>
</file>