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ind w:firstLine="480"/>
        <w:jc w:val="center"/>
        <w:rPr>
          <w:rFonts w:hint="eastAsia" w:cs="Arial" w:asciiTheme="majorEastAsia" w:hAnsiTheme="majorEastAsia" w:eastAsiaTheme="majorEastAsia"/>
          <w:b/>
          <w:color w:val="000000"/>
          <w:kern w:val="0"/>
          <w:sz w:val="36"/>
          <w:szCs w:val="36"/>
        </w:rPr>
      </w:pPr>
      <w:r>
        <w:rPr>
          <w:rFonts w:cs="Arial" w:asciiTheme="majorEastAsia" w:hAnsiTheme="majorEastAsia" w:eastAsiaTheme="majorEastAsia"/>
          <w:b/>
          <w:color w:val="000000"/>
          <w:kern w:val="0"/>
          <w:sz w:val="36"/>
          <w:szCs w:val="36"/>
        </w:rPr>
        <w:t>麻阳苗族自治县</w:t>
      </w:r>
      <w:r>
        <w:rPr>
          <w:rFonts w:hint="eastAsia" w:cs="Arial" w:asciiTheme="majorEastAsia" w:hAnsiTheme="majorEastAsia" w:eastAsiaTheme="majorEastAsia"/>
          <w:b/>
          <w:color w:val="000000"/>
          <w:kern w:val="0"/>
          <w:sz w:val="36"/>
          <w:szCs w:val="36"/>
        </w:rPr>
        <w:t>城市管理行政执法大队</w:t>
      </w:r>
    </w:p>
    <w:p>
      <w:pPr>
        <w:widowControl/>
        <w:shd w:val="clear" w:color="auto" w:fill="FFFFFF"/>
        <w:spacing w:line="480" w:lineRule="auto"/>
        <w:ind w:firstLine="480"/>
        <w:jc w:val="center"/>
        <w:rPr>
          <w:rFonts w:cs="Arial" w:asciiTheme="majorEastAsia" w:hAnsiTheme="majorEastAsia" w:eastAsiaTheme="majorEastAsia"/>
          <w:b/>
          <w:color w:val="000000"/>
          <w:kern w:val="0"/>
          <w:sz w:val="36"/>
          <w:szCs w:val="36"/>
        </w:rPr>
      </w:pPr>
      <w:r>
        <w:rPr>
          <w:rFonts w:hint="eastAsia" w:cs="Arial" w:asciiTheme="majorEastAsia" w:hAnsiTheme="majorEastAsia" w:eastAsiaTheme="majorEastAsia"/>
          <w:b/>
          <w:color w:val="000000"/>
          <w:kern w:val="0"/>
          <w:sz w:val="36"/>
          <w:szCs w:val="36"/>
          <w:lang w:eastAsia="zh-CN"/>
        </w:rPr>
        <w:t>2021</w:t>
      </w:r>
      <w:r>
        <w:rPr>
          <w:rFonts w:cs="Arial" w:asciiTheme="majorEastAsia" w:hAnsiTheme="majorEastAsia" w:eastAsiaTheme="majorEastAsia"/>
          <w:b/>
          <w:color w:val="000000"/>
          <w:kern w:val="0"/>
          <w:sz w:val="36"/>
          <w:szCs w:val="36"/>
        </w:rPr>
        <w:t>年部门整体支出绩效评价报告</w:t>
      </w:r>
    </w:p>
    <w:p>
      <w:pPr>
        <w:widowControl/>
        <w:shd w:val="clear" w:color="auto" w:fill="FFFFFF"/>
        <w:spacing w:line="480" w:lineRule="auto"/>
        <w:ind w:firstLine="480"/>
        <w:jc w:val="left"/>
        <w:rPr>
          <w:rFonts w:ascii="仿宋" w:hAnsi="仿宋" w:eastAsia="仿宋" w:cs="Arial"/>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根据麻阳苗族自治县财政局印发的《关于做好</w:t>
      </w:r>
      <w:r>
        <w:rPr>
          <w:rFonts w:hint="eastAsia" w:ascii="仿宋" w:hAnsi="仿宋" w:eastAsia="仿宋" w:cs="仿宋"/>
          <w:sz w:val="30"/>
          <w:szCs w:val="30"/>
          <w:lang w:eastAsia="zh-CN"/>
        </w:rPr>
        <w:t>2021</w:t>
      </w:r>
      <w:r>
        <w:rPr>
          <w:rFonts w:hint="eastAsia" w:ascii="仿宋" w:hAnsi="仿宋" w:eastAsia="仿宋" w:cs="仿宋"/>
          <w:sz w:val="30"/>
          <w:szCs w:val="30"/>
        </w:rPr>
        <w:t>年度县级财政资金绩效自评工作的通知》（麻财绩〔202</w:t>
      </w:r>
      <w:r>
        <w:rPr>
          <w:rFonts w:hint="eastAsia" w:ascii="仿宋" w:hAnsi="仿宋" w:eastAsia="仿宋" w:cs="仿宋"/>
          <w:sz w:val="30"/>
          <w:szCs w:val="30"/>
          <w:lang w:val="en-US" w:eastAsia="zh-CN"/>
        </w:rPr>
        <w:t>1</w:t>
      </w:r>
      <w:r>
        <w:rPr>
          <w:rFonts w:hint="eastAsia" w:ascii="仿宋" w:hAnsi="仿宋" w:eastAsia="仿宋" w:cs="仿宋"/>
          <w:sz w:val="30"/>
          <w:szCs w:val="30"/>
        </w:rPr>
        <w:t>〕1号）文件的相关要求，我</w:t>
      </w:r>
      <w:r>
        <w:rPr>
          <w:rFonts w:hint="eastAsia" w:ascii="仿宋" w:hAnsi="仿宋" w:eastAsia="仿宋" w:cs="仿宋"/>
          <w:sz w:val="30"/>
          <w:szCs w:val="30"/>
          <w:lang w:eastAsia="zh-CN"/>
        </w:rPr>
        <w:t>单位</w:t>
      </w:r>
      <w:r>
        <w:rPr>
          <w:rFonts w:hint="eastAsia" w:ascii="仿宋" w:hAnsi="仿宋" w:eastAsia="仿宋" w:cs="仿宋"/>
          <w:sz w:val="30"/>
          <w:szCs w:val="30"/>
        </w:rPr>
        <w:t>对</w:t>
      </w:r>
      <w:r>
        <w:rPr>
          <w:rFonts w:hint="eastAsia" w:ascii="仿宋" w:hAnsi="仿宋" w:eastAsia="仿宋" w:cs="仿宋"/>
          <w:sz w:val="30"/>
          <w:szCs w:val="30"/>
          <w:lang w:eastAsia="zh-CN"/>
        </w:rPr>
        <w:t>2021</w:t>
      </w:r>
      <w:r>
        <w:rPr>
          <w:rFonts w:hint="eastAsia" w:ascii="仿宋" w:hAnsi="仿宋" w:eastAsia="仿宋" w:cs="仿宋"/>
          <w:sz w:val="30"/>
          <w:szCs w:val="30"/>
        </w:rPr>
        <w:t>年度部门整体支出绩效进行了全面综合评价</w:t>
      </w:r>
      <w:r>
        <w:rPr>
          <w:rFonts w:hint="eastAsia" w:ascii="仿宋" w:hAnsi="仿宋" w:eastAsia="仿宋" w:cs="仿宋"/>
          <w:sz w:val="30"/>
          <w:szCs w:val="30"/>
          <w:lang w:val="en-US" w:eastAsia="zh-CN"/>
        </w:rPr>
        <w:t>,</w:t>
      </w:r>
      <w:r>
        <w:rPr>
          <w:rFonts w:hint="eastAsia" w:ascii="仿宋" w:hAnsi="仿宋" w:eastAsia="仿宋" w:cs="仿宋"/>
          <w:sz w:val="30"/>
          <w:szCs w:val="30"/>
        </w:rPr>
        <w:t>现将整体支出绩效情况报告如下。</w:t>
      </w:r>
    </w:p>
    <w:p>
      <w:pPr>
        <w:widowControl/>
        <w:shd w:val="clear" w:color="auto" w:fill="FFFFFF"/>
        <w:spacing w:line="480" w:lineRule="auto"/>
        <w:ind w:firstLine="643" w:firstLineChars="200"/>
        <w:jc w:val="left"/>
        <w:rPr>
          <w:rFonts w:ascii="仿宋" w:hAnsi="仿宋" w:eastAsia="仿宋" w:cs="Arial"/>
          <w:b/>
          <w:color w:val="000000"/>
          <w:kern w:val="0"/>
          <w:sz w:val="32"/>
          <w:szCs w:val="32"/>
        </w:rPr>
      </w:pPr>
      <w:r>
        <w:rPr>
          <w:rFonts w:hint="eastAsia" w:ascii="仿宋" w:hAnsi="仿宋" w:eastAsia="仿宋" w:cs="Arial"/>
          <w:b/>
          <w:color w:val="000000"/>
          <w:kern w:val="0"/>
          <w:sz w:val="32"/>
          <w:szCs w:val="32"/>
        </w:rPr>
        <w:t>一、</w:t>
      </w:r>
      <w:r>
        <w:rPr>
          <w:rFonts w:ascii="仿宋" w:hAnsi="仿宋" w:eastAsia="仿宋" w:cs="Arial"/>
          <w:b/>
          <w:color w:val="000000"/>
          <w:kern w:val="0"/>
          <w:sz w:val="32"/>
          <w:szCs w:val="32"/>
        </w:rPr>
        <w:t>部门概述</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(一）</w:t>
      </w:r>
      <w:r>
        <w:rPr>
          <w:rFonts w:hint="eastAsia" w:ascii="仿宋" w:hAnsi="仿宋" w:eastAsia="仿宋" w:cs="仿宋"/>
          <w:b/>
          <w:bCs/>
          <w:sz w:val="30"/>
          <w:szCs w:val="30"/>
        </w:rPr>
        <w:t>机构设置情况</w:t>
      </w:r>
    </w:p>
    <w:p>
      <w:pPr>
        <w:widowControl/>
        <w:shd w:val="clear" w:color="auto" w:fill="FFFFFF"/>
        <w:spacing w:line="480" w:lineRule="auto"/>
        <w:ind w:firstLine="560" w:firstLineChars="200"/>
        <w:jc w:val="left"/>
        <w:rPr>
          <w:rFonts w:hAnsi="宋体" w:cs="宋体"/>
          <w:color w:val="auto"/>
          <w:kern w:val="0"/>
          <w:sz w:val="28"/>
          <w:szCs w:val="28"/>
          <w:lang w:val="zh-CN"/>
        </w:rPr>
      </w:pPr>
      <w:r>
        <w:rPr>
          <w:rFonts w:hint="eastAsia" w:hAnsi="宋体" w:cs="宋体"/>
          <w:color w:val="auto"/>
          <w:kern w:val="0"/>
          <w:sz w:val="28"/>
          <w:szCs w:val="28"/>
          <w:lang w:val="zh-CN"/>
        </w:rPr>
        <w:t>内设办公室</w:t>
      </w:r>
      <w:r>
        <w:rPr>
          <w:rFonts w:hint="eastAsia" w:hAnsi="宋体" w:cs="宋体"/>
          <w:color w:val="auto"/>
          <w:kern w:val="0"/>
          <w:sz w:val="28"/>
          <w:szCs w:val="28"/>
        </w:rPr>
        <w:t>1</w:t>
      </w:r>
      <w:r>
        <w:rPr>
          <w:rFonts w:hint="eastAsia" w:hAnsi="宋体" w:cs="宋体"/>
          <w:color w:val="auto"/>
          <w:kern w:val="0"/>
          <w:sz w:val="28"/>
          <w:szCs w:val="28"/>
          <w:lang w:val="zh-CN"/>
        </w:rPr>
        <w:t>个，股室</w:t>
      </w:r>
      <w:r>
        <w:rPr>
          <w:rFonts w:hint="eastAsia" w:hAnsi="宋体" w:cs="宋体"/>
          <w:color w:val="auto"/>
          <w:kern w:val="0"/>
          <w:sz w:val="28"/>
          <w:szCs w:val="28"/>
        </w:rPr>
        <w:t>6</w:t>
      </w:r>
      <w:r>
        <w:rPr>
          <w:rFonts w:hint="eastAsia" w:hAnsi="宋体" w:cs="宋体"/>
          <w:color w:val="auto"/>
          <w:kern w:val="0"/>
          <w:sz w:val="28"/>
          <w:szCs w:val="28"/>
          <w:lang w:val="zh-CN"/>
        </w:rPr>
        <w:t>个，共计</w:t>
      </w:r>
      <w:r>
        <w:rPr>
          <w:rFonts w:hint="eastAsia" w:hAnsi="宋体" w:cs="宋体"/>
          <w:color w:val="auto"/>
          <w:kern w:val="0"/>
          <w:sz w:val="28"/>
          <w:szCs w:val="28"/>
        </w:rPr>
        <w:t>7</w:t>
      </w:r>
      <w:r>
        <w:rPr>
          <w:rFonts w:hint="eastAsia" w:hAnsi="宋体" w:cs="宋体"/>
          <w:color w:val="auto"/>
          <w:kern w:val="0"/>
          <w:sz w:val="28"/>
          <w:szCs w:val="28"/>
          <w:lang w:val="zh-CN"/>
        </w:rPr>
        <w:t>个职能股室，核定编制</w:t>
      </w:r>
      <w:r>
        <w:rPr>
          <w:rFonts w:hint="eastAsia" w:hAnsi="宋体" w:cs="宋体"/>
          <w:color w:val="auto"/>
          <w:kern w:val="0"/>
          <w:sz w:val="28"/>
          <w:szCs w:val="28"/>
        </w:rPr>
        <w:t>8</w:t>
      </w:r>
      <w:r>
        <w:rPr>
          <w:rFonts w:hint="eastAsia" w:hAnsi="宋体" w:cs="宋体"/>
          <w:color w:val="auto"/>
          <w:kern w:val="0"/>
          <w:sz w:val="28"/>
          <w:szCs w:val="28"/>
          <w:lang w:val="en-US" w:eastAsia="zh-CN"/>
        </w:rPr>
        <w:t>8</w:t>
      </w:r>
      <w:r>
        <w:rPr>
          <w:rFonts w:hint="eastAsia" w:hAnsi="宋体" w:cs="宋体"/>
          <w:color w:val="auto"/>
          <w:kern w:val="0"/>
          <w:sz w:val="28"/>
          <w:szCs w:val="28"/>
          <w:lang w:val="zh-CN"/>
        </w:rPr>
        <w:t>人，其中，事业编</w:t>
      </w:r>
      <w:r>
        <w:rPr>
          <w:rFonts w:hint="eastAsia" w:hAnsi="宋体" w:cs="宋体"/>
          <w:color w:val="auto"/>
          <w:kern w:val="0"/>
          <w:sz w:val="28"/>
          <w:szCs w:val="28"/>
        </w:rPr>
        <w:t>86</w:t>
      </w:r>
      <w:r>
        <w:rPr>
          <w:rFonts w:hint="eastAsia" w:hAnsi="宋体" w:cs="宋体"/>
          <w:color w:val="auto"/>
          <w:kern w:val="0"/>
          <w:sz w:val="28"/>
          <w:szCs w:val="28"/>
          <w:lang w:val="zh-CN"/>
        </w:rPr>
        <w:t>人，工勤编</w:t>
      </w:r>
      <w:r>
        <w:rPr>
          <w:rFonts w:hint="eastAsia" w:hAnsi="宋体" w:cs="宋体"/>
          <w:color w:val="auto"/>
          <w:kern w:val="0"/>
          <w:sz w:val="28"/>
          <w:szCs w:val="28"/>
        </w:rPr>
        <w:t>2</w:t>
      </w:r>
      <w:r>
        <w:rPr>
          <w:rFonts w:hint="eastAsia" w:hAnsi="宋体" w:cs="宋体"/>
          <w:color w:val="auto"/>
          <w:kern w:val="0"/>
          <w:sz w:val="28"/>
          <w:szCs w:val="28"/>
          <w:lang w:val="zh-CN"/>
        </w:rPr>
        <w:t>人。截止2021年</w:t>
      </w:r>
      <w:r>
        <w:rPr>
          <w:rFonts w:hint="eastAsia" w:hAnsi="宋体" w:cs="宋体"/>
          <w:color w:val="auto"/>
          <w:kern w:val="0"/>
          <w:sz w:val="28"/>
          <w:szCs w:val="28"/>
        </w:rPr>
        <w:t>12</w:t>
      </w:r>
      <w:r>
        <w:rPr>
          <w:rFonts w:hint="eastAsia" w:hAnsi="宋体" w:cs="宋体"/>
          <w:color w:val="auto"/>
          <w:kern w:val="0"/>
          <w:sz w:val="28"/>
          <w:szCs w:val="28"/>
          <w:lang w:val="zh-CN"/>
        </w:rPr>
        <w:t>月底，实有人数</w:t>
      </w:r>
      <w:r>
        <w:rPr>
          <w:rFonts w:hint="eastAsia" w:hAnsi="宋体" w:cs="宋体"/>
          <w:color w:val="auto"/>
          <w:kern w:val="0"/>
          <w:sz w:val="28"/>
          <w:szCs w:val="28"/>
          <w:lang w:val="en-US" w:eastAsia="zh-CN"/>
        </w:rPr>
        <w:t>141</w:t>
      </w:r>
      <w:r>
        <w:rPr>
          <w:rFonts w:hint="eastAsia" w:hAnsi="宋体" w:cs="宋体"/>
          <w:color w:val="auto"/>
          <w:kern w:val="0"/>
          <w:sz w:val="28"/>
          <w:szCs w:val="28"/>
          <w:lang w:val="zh-CN"/>
        </w:rPr>
        <w:t>人，其中在职</w:t>
      </w:r>
      <w:r>
        <w:rPr>
          <w:rFonts w:hint="eastAsia" w:hAnsi="宋体" w:cs="宋体"/>
          <w:color w:val="auto"/>
          <w:kern w:val="0"/>
          <w:sz w:val="28"/>
          <w:szCs w:val="28"/>
          <w:lang w:val="en-US" w:eastAsia="zh-CN"/>
        </w:rPr>
        <w:t>74</w:t>
      </w:r>
      <w:r>
        <w:rPr>
          <w:rFonts w:hint="eastAsia" w:hAnsi="宋体" w:cs="宋体"/>
          <w:color w:val="auto"/>
          <w:kern w:val="0"/>
          <w:sz w:val="28"/>
          <w:szCs w:val="28"/>
          <w:lang w:val="zh-CN"/>
        </w:rPr>
        <w:t>人（全额</w:t>
      </w:r>
      <w:r>
        <w:rPr>
          <w:rFonts w:hint="eastAsia" w:hAnsi="宋体" w:cs="宋体"/>
          <w:color w:val="auto"/>
          <w:kern w:val="0"/>
          <w:sz w:val="28"/>
          <w:szCs w:val="28"/>
          <w:lang w:val="en-US" w:eastAsia="zh-CN"/>
        </w:rPr>
        <w:t>56</w:t>
      </w:r>
      <w:r>
        <w:rPr>
          <w:rFonts w:hint="eastAsia" w:hAnsi="宋体" w:cs="宋体"/>
          <w:color w:val="auto"/>
          <w:kern w:val="0"/>
          <w:sz w:val="28"/>
          <w:szCs w:val="28"/>
          <w:lang w:val="zh-CN"/>
        </w:rPr>
        <w:t>人，差额</w:t>
      </w:r>
      <w:r>
        <w:rPr>
          <w:rFonts w:hint="eastAsia" w:hAnsi="宋体" w:cs="宋体"/>
          <w:color w:val="auto"/>
          <w:kern w:val="0"/>
          <w:sz w:val="28"/>
          <w:szCs w:val="28"/>
        </w:rPr>
        <w:t>11</w:t>
      </w:r>
      <w:r>
        <w:rPr>
          <w:rFonts w:hint="eastAsia" w:hAnsi="宋体" w:cs="宋体"/>
          <w:color w:val="auto"/>
          <w:kern w:val="0"/>
          <w:sz w:val="28"/>
          <w:szCs w:val="28"/>
          <w:lang w:val="zh-CN"/>
        </w:rPr>
        <w:t>人，自收自支</w:t>
      </w:r>
      <w:r>
        <w:rPr>
          <w:rFonts w:hint="eastAsia" w:hAnsi="宋体" w:cs="宋体"/>
          <w:color w:val="auto"/>
          <w:kern w:val="0"/>
          <w:sz w:val="28"/>
          <w:szCs w:val="28"/>
        </w:rPr>
        <w:t>7</w:t>
      </w:r>
      <w:r>
        <w:rPr>
          <w:rFonts w:hint="eastAsia" w:hAnsi="宋体" w:cs="宋体"/>
          <w:color w:val="auto"/>
          <w:kern w:val="0"/>
          <w:sz w:val="28"/>
          <w:szCs w:val="28"/>
          <w:lang w:val="zh-CN"/>
        </w:rPr>
        <w:t>人），清编及退伍军人</w:t>
      </w:r>
      <w:r>
        <w:rPr>
          <w:rFonts w:hint="eastAsia" w:hAnsi="宋体" w:cs="宋体"/>
          <w:color w:val="auto"/>
          <w:kern w:val="0"/>
          <w:sz w:val="28"/>
          <w:szCs w:val="28"/>
          <w:lang w:val="en-US" w:eastAsia="zh-CN"/>
        </w:rPr>
        <w:t>9人，</w:t>
      </w:r>
      <w:r>
        <w:rPr>
          <w:rFonts w:hint="eastAsia" w:hAnsi="宋体" w:cs="宋体"/>
          <w:color w:val="auto"/>
          <w:kern w:val="0"/>
          <w:sz w:val="28"/>
          <w:szCs w:val="28"/>
          <w:lang w:val="zh-CN"/>
        </w:rPr>
        <w:t>退休人员</w:t>
      </w:r>
      <w:r>
        <w:rPr>
          <w:rFonts w:hint="eastAsia" w:hAnsi="宋体" w:cs="宋体"/>
          <w:color w:val="auto"/>
          <w:kern w:val="0"/>
          <w:sz w:val="28"/>
          <w:szCs w:val="28"/>
          <w:lang w:val="en-US" w:eastAsia="zh-CN"/>
        </w:rPr>
        <w:t>6</w:t>
      </w:r>
      <w:r>
        <w:rPr>
          <w:rFonts w:hint="eastAsia" w:hAnsi="宋体" w:cs="宋体"/>
          <w:color w:val="auto"/>
          <w:kern w:val="0"/>
          <w:sz w:val="28"/>
          <w:szCs w:val="28"/>
          <w:lang w:val="zh-CN"/>
        </w:rPr>
        <w:t>人，临时工</w:t>
      </w:r>
      <w:r>
        <w:rPr>
          <w:rFonts w:hint="eastAsia" w:hAnsi="宋体" w:cs="宋体"/>
          <w:color w:val="auto"/>
          <w:kern w:val="0"/>
          <w:sz w:val="28"/>
          <w:szCs w:val="28"/>
          <w:lang w:val="en-US" w:eastAsia="zh-CN"/>
        </w:rPr>
        <w:t>52</w:t>
      </w:r>
      <w:r>
        <w:rPr>
          <w:rFonts w:hint="eastAsia" w:hAnsi="宋体" w:cs="宋体"/>
          <w:color w:val="auto"/>
          <w:kern w:val="0"/>
          <w:sz w:val="28"/>
          <w:szCs w:val="28"/>
          <w:lang w:val="zh-CN"/>
        </w:rPr>
        <w:t>人。</w:t>
      </w:r>
    </w:p>
    <w:p>
      <w:pPr>
        <w:widowControl/>
        <w:shd w:val="clear" w:color="auto" w:fill="FFFFFF"/>
        <w:spacing w:line="480" w:lineRule="auto"/>
        <w:ind w:firstLine="480"/>
        <w:jc w:val="left"/>
        <w:rPr>
          <w:rFonts w:hint="eastAsia" w:ascii="仿宋" w:hAnsi="仿宋" w:eastAsia="仿宋" w:cs="Arial"/>
          <w:b/>
          <w:bCs/>
          <w:color w:val="000000"/>
          <w:kern w:val="0"/>
          <w:sz w:val="32"/>
          <w:szCs w:val="32"/>
          <w:lang w:val="zh-CN"/>
        </w:rPr>
      </w:pPr>
      <w:r>
        <w:rPr>
          <w:rFonts w:hint="eastAsia" w:ascii="仿宋" w:hAnsi="仿宋" w:eastAsia="仿宋" w:cs="Arial"/>
          <w:b/>
          <w:bCs/>
          <w:color w:val="000000"/>
          <w:kern w:val="0"/>
          <w:sz w:val="32"/>
          <w:szCs w:val="32"/>
          <w:lang w:val="zh-CN"/>
        </w:rPr>
        <w:t>（二）</w:t>
      </w:r>
      <w:r>
        <w:rPr>
          <w:rFonts w:hint="eastAsia" w:ascii="仿宋" w:hAnsi="仿宋" w:eastAsia="仿宋" w:cs="仿宋"/>
          <w:b/>
          <w:bCs/>
          <w:sz w:val="30"/>
          <w:szCs w:val="30"/>
        </w:rPr>
        <w:t>主要职责</w:t>
      </w:r>
    </w:p>
    <w:p>
      <w:pPr>
        <w:widowControl/>
        <w:shd w:val="clear" w:color="auto" w:fill="FFFFFF"/>
        <w:spacing w:line="480" w:lineRule="auto"/>
        <w:ind w:firstLine="480"/>
        <w:jc w:val="left"/>
        <w:rPr>
          <w:rFonts w:hint="eastAsia" w:ascii="仿宋" w:hAnsi="仿宋" w:eastAsia="仿宋" w:cs="Arial"/>
          <w:color w:val="000000"/>
          <w:kern w:val="0"/>
          <w:sz w:val="32"/>
          <w:szCs w:val="32"/>
        </w:rPr>
      </w:pPr>
      <w:r>
        <w:rPr>
          <w:rFonts w:hint="eastAsia" w:ascii="仿宋" w:hAnsi="仿宋" w:eastAsia="仿宋" w:cs="Arial"/>
          <w:color w:val="000000"/>
          <w:kern w:val="0"/>
          <w:sz w:val="32"/>
          <w:szCs w:val="32"/>
          <w:lang w:val="zh-CN"/>
        </w:rPr>
        <w:t>1、行使城市市容环境卫生、法规、规章规定的行政处罚；2、行使城市规划、环境保护、工商管理、公安交通管理、烟花爆竹燃放管理、城市燃气管理、城区犬类管理方面法律、法规、规章规定的部分行政处罚权；</w:t>
      </w:r>
      <w:r>
        <w:rPr>
          <w:rFonts w:hint="eastAsia" w:ascii="仿宋" w:hAnsi="仿宋" w:eastAsia="仿宋" w:cs="Arial"/>
          <w:color w:val="000000"/>
          <w:kern w:val="0"/>
          <w:sz w:val="32"/>
          <w:szCs w:val="32"/>
        </w:rPr>
        <w:t>3、行使城市道路临时占用或挖掘、户外广告设置、建筑渣土准运的行政许可职能</w:t>
      </w:r>
      <w:r>
        <w:rPr>
          <w:rFonts w:hint="eastAsia" w:ascii="仿宋" w:hAnsi="仿宋" w:eastAsia="仿宋" w:cs="Arial"/>
          <w:color w:val="000000"/>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二、绩效评价目标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绩效评价的目的在于促进部门高效履职</w:t>
      </w:r>
      <w:r>
        <w:rPr>
          <w:rFonts w:hint="eastAsia" w:ascii="仿宋" w:hAnsi="仿宋" w:eastAsia="仿宋" w:cs="仿宋"/>
          <w:sz w:val="30"/>
          <w:szCs w:val="30"/>
          <w:lang w:eastAsia="zh-CN"/>
        </w:rPr>
        <w:t>，</w:t>
      </w:r>
      <w:r>
        <w:rPr>
          <w:rFonts w:hint="eastAsia" w:ascii="仿宋" w:hAnsi="仿宋" w:eastAsia="仿宋" w:cs="仿宋"/>
          <w:sz w:val="30"/>
          <w:szCs w:val="30"/>
        </w:rPr>
        <w:t>同时，及时总结经验，分析存在的问题，采取切实有效的措施加强管理，切实提高财政资金使用效益。</w:t>
      </w:r>
    </w:p>
    <w:p>
      <w:pPr>
        <w:widowControl/>
        <w:shd w:val="clear" w:color="auto" w:fill="FFFFFF"/>
        <w:spacing w:line="480" w:lineRule="auto"/>
        <w:ind w:firstLine="643" w:firstLineChars="200"/>
        <w:jc w:val="left"/>
        <w:rPr>
          <w:rFonts w:ascii="仿宋" w:hAnsi="仿宋" w:eastAsia="仿宋" w:cs="Arial"/>
          <w:b/>
          <w:color w:val="000000"/>
          <w:kern w:val="0"/>
          <w:sz w:val="32"/>
          <w:szCs w:val="32"/>
        </w:rPr>
      </w:pPr>
      <w:r>
        <w:rPr>
          <w:rFonts w:hint="eastAsia" w:ascii="仿宋" w:hAnsi="仿宋" w:eastAsia="仿宋" w:cs="Arial"/>
          <w:b/>
          <w:color w:val="000000"/>
          <w:kern w:val="0"/>
          <w:sz w:val="32"/>
          <w:szCs w:val="32"/>
        </w:rPr>
        <w:t>三</w:t>
      </w:r>
      <w:r>
        <w:rPr>
          <w:rFonts w:ascii="仿宋" w:hAnsi="仿宋" w:eastAsia="仿宋" w:cs="Arial"/>
          <w:b/>
          <w:color w:val="000000"/>
          <w:kern w:val="0"/>
          <w:sz w:val="32"/>
          <w:szCs w:val="32"/>
        </w:rPr>
        <w:t>、部门整体支出情况</w:t>
      </w:r>
    </w:p>
    <w:p>
      <w:pPr>
        <w:widowControl/>
        <w:shd w:val="clear" w:color="auto" w:fill="FFFFFF"/>
        <w:spacing w:line="480" w:lineRule="auto"/>
        <w:ind w:firstLine="480"/>
        <w:jc w:val="left"/>
        <w:rPr>
          <w:rFonts w:ascii="仿宋" w:hAnsi="仿宋" w:eastAsia="仿宋" w:cs="Arial"/>
          <w:color w:val="000000"/>
          <w:kern w:val="0"/>
          <w:sz w:val="32"/>
          <w:szCs w:val="32"/>
          <w:lang w:val="en-US"/>
        </w:rPr>
      </w:pPr>
      <w:r>
        <w:rPr>
          <w:rFonts w:hint="eastAsia" w:ascii="仿宋" w:hAnsi="仿宋" w:eastAsia="仿宋" w:cs="Arial"/>
          <w:color w:val="000000"/>
          <w:kern w:val="0"/>
          <w:sz w:val="32"/>
          <w:szCs w:val="32"/>
          <w:lang w:eastAsia="zh-CN"/>
        </w:rPr>
        <w:t>2021</w:t>
      </w:r>
      <w:r>
        <w:rPr>
          <w:rFonts w:ascii="仿宋" w:hAnsi="仿宋" w:eastAsia="仿宋" w:cs="Arial"/>
          <w:color w:val="000000"/>
          <w:kern w:val="0"/>
          <w:sz w:val="32"/>
          <w:szCs w:val="32"/>
        </w:rPr>
        <w:t>年我</w:t>
      </w:r>
      <w:r>
        <w:rPr>
          <w:rFonts w:hint="eastAsia" w:ascii="仿宋" w:hAnsi="仿宋" w:eastAsia="仿宋" w:cs="Arial"/>
          <w:color w:val="000000"/>
          <w:kern w:val="0"/>
          <w:sz w:val="32"/>
          <w:szCs w:val="32"/>
          <w:lang w:eastAsia="zh-CN"/>
        </w:rPr>
        <w:t>局</w:t>
      </w:r>
      <w:r>
        <w:rPr>
          <w:rFonts w:hint="eastAsia" w:ascii="仿宋" w:hAnsi="仿宋" w:eastAsia="仿宋" w:cs="宋体"/>
          <w:color w:val="0F1214"/>
          <w:sz w:val="32"/>
          <w:szCs w:val="32"/>
        </w:rPr>
        <w:t>全年公共财政拨款</w:t>
      </w:r>
      <w:r>
        <w:rPr>
          <w:rFonts w:hint="eastAsia" w:ascii="仿宋" w:hAnsi="仿宋" w:eastAsia="仿宋" w:cs="Arial"/>
          <w:color w:val="000000"/>
          <w:kern w:val="0"/>
          <w:sz w:val="32"/>
          <w:szCs w:val="32"/>
          <w:lang w:val="en-US" w:eastAsia="zh-CN"/>
        </w:rPr>
        <w:t>3637.17</w:t>
      </w:r>
      <w:r>
        <w:rPr>
          <w:rFonts w:ascii="仿宋" w:hAnsi="仿宋" w:eastAsia="仿宋" w:cs="Arial"/>
          <w:color w:val="000000"/>
          <w:kern w:val="0"/>
          <w:sz w:val="32"/>
          <w:szCs w:val="32"/>
        </w:rPr>
        <w:t>万元，实际发生支出</w:t>
      </w:r>
      <w:r>
        <w:rPr>
          <w:rFonts w:hint="eastAsia" w:ascii="仿宋" w:hAnsi="仿宋" w:eastAsia="仿宋" w:cs="Arial"/>
          <w:color w:val="000000"/>
          <w:kern w:val="0"/>
          <w:sz w:val="32"/>
          <w:szCs w:val="32"/>
          <w:lang w:val="en-US" w:eastAsia="zh-CN"/>
        </w:rPr>
        <w:t>3857.24</w:t>
      </w:r>
      <w:r>
        <w:rPr>
          <w:rFonts w:ascii="仿宋" w:hAnsi="仿宋" w:eastAsia="仿宋" w:cs="Arial"/>
          <w:color w:val="000000"/>
          <w:kern w:val="0"/>
          <w:sz w:val="32"/>
          <w:szCs w:val="32"/>
        </w:rPr>
        <w:t>万元，其中</w:t>
      </w:r>
      <w:r>
        <w:rPr>
          <w:rFonts w:hint="eastAsia" w:ascii="仿宋" w:hAnsi="仿宋" w:eastAsia="仿宋" w:cs="Arial"/>
          <w:color w:val="000000"/>
          <w:kern w:val="0"/>
          <w:sz w:val="32"/>
          <w:szCs w:val="32"/>
        </w:rPr>
        <w:t>：城乡社区支出</w:t>
      </w:r>
      <w:r>
        <w:rPr>
          <w:rFonts w:hint="eastAsia" w:ascii="仿宋" w:hAnsi="仿宋" w:eastAsia="仿宋" w:cs="Arial"/>
          <w:color w:val="000000"/>
          <w:kern w:val="0"/>
          <w:sz w:val="32"/>
          <w:szCs w:val="32"/>
          <w:lang w:val="en-US" w:eastAsia="zh-CN"/>
        </w:rPr>
        <w:t>2176.15</w:t>
      </w:r>
      <w:r>
        <w:rPr>
          <w:rFonts w:ascii="仿宋" w:hAnsi="仿宋" w:eastAsia="仿宋" w:cs="Arial"/>
          <w:color w:val="000000"/>
          <w:kern w:val="0"/>
          <w:sz w:val="32"/>
          <w:szCs w:val="32"/>
        </w:rPr>
        <w:t>万元</w:t>
      </w:r>
      <w:r>
        <w:rPr>
          <w:rFonts w:hint="eastAsia" w:ascii="仿宋" w:hAnsi="仿宋" w:eastAsia="仿宋" w:cs="Arial"/>
          <w:color w:val="000000"/>
          <w:kern w:val="0"/>
          <w:sz w:val="32"/>
          <w:szCs w:val="32"/>
          <w:lang w:eastAsia="zh-CN"/>
        </w:rPr>
        <w:t>，社会保障就业支出</w:t>
      </w:r>
      <w:r>
        <w:rPr>
          <w:rFonts w:hint="eastAsia" w:ascii="仿宋" w:hAnsi="仿宋" w:eastAsia="仿宋" w:cs="Arial"/>
          <w:color w:val="000000"/>
          <w:kern w:val="0"/>
          <w:sz w:val="32"/>
          <w:szCs w:val="32"/>
          <w:lang w:val="en-US" w:eastAsia="zh-CN"/>
        </w:rPr>
        <w:t>71.28万元，卫生健康支出47.32万元，住房保障支出59.45万元,农林水支出98.82万元。</w:t>
      </w:r>
    </w:p>
    <w:p>
      <w:pPr>
        <w:widowControl/>
        <w:shd w:val="clear" w:color="auto" w:fill="FFFFFF"/>
        <w:spacing w:line="480" w:lineRule="auto"/>
        <w:ind w:firstLine="480"/>
        <w:jc w:val="left"/>
        <w:rPr>
          <w:rFonts w:ascii="仿宋" w:hAnsi="仿宋" w:eastAsia="仿宋" w:cs="Arial"/>
          <w:color w:val="000000"/>
          <w:kern w:val="0"/>
          <w:sz w:val="32"/>
          <w:szCs w:val="32"/>
        </w:rPr>
      </w:pPr>
      <w:r>
        <w:rPr>
          <w:rFonts w:ascii="仿宋" w:hAnsi="仿宋" w:eastAsia="仿宋" w:cs="Arial"/>
          <w:color w:val="000000"/>
          <w:kern w:val="0"/>
          <w:sz w:val="32"/>
          <w:szCs w:val="32"/>
        </w:rPr>
        <w:t>“三公”经费支出</w:t>
      </w:r>
      <w:r>
        <w:rPr>
          <w:rFonts w:hint="eastAsia" w:ascii="仿宋" w:hAnsi="仿宋" w:eastAsia="仿宋" w:cs="Arial"/>
          <w:color w:val="000000"/>
          <w:kern w:val="0"/>
          <w:sz w:val="32"/>
          <w:szCs w:val="32"/>
          <w:lang w:val="en-US" w:eastAsia="zh-CN"/>
        </w:rPr>
        <w:t>14.65</w:t>
      </w:r>
      <w:r>
        <w:rPr>
          <w:rFonts w:ascii="仿宋" w:hAnsi="仿宋" w:eastAsia="仿宋" w:cs="Arial"/>
          <w:color w:val="000000"/>
          <w:kern w:val="0"/>
          <w:sz w:val="32"/>
          <w:szCs w:val="32"/>
        </w:rPr>
        <w:t>万元，其中：公务用车</w:t>
      </w:r>
      <w:r>
        <w:rPr>
          <w:rFonts w:hint="eastAsia" w:ascii="仿宋" w:hAnsi="仿宋" w:eastAsia="仿宋" w:cs="Arial"/>
          <w:color w:val="000000"/>
          <w:kern w:val="0"/>
          <w:sz w:val="32"/>
          <w:szCs w:val="32"/>
        </w:rPr>
        <w:t>运行</w:t>
      </w:r>
      <w:r>
        <w:rPr>
          <w:rFonts w:ascii="仿宋" w:hAnsi="仿宋" w:eastAsia="仿宋" w:cs="Arial"/>
          <w:color w:val="000000"/>
          <w:kern w:val="0"/>
          <w:sz w:val="32"/>
          <w:szCs w:val="32"/>
        </w:rPr>
        <w:t>维护费</w:t>
      </w:r>
      <w:r>
        <w:rPr>
          <w:rFonts w:hint="eastAsia" w:ascii="仿宋" w:hAnsi="仿宋" w:eastAsia="仿宋" w:cs="Arial"/>
          <w:color w:val="000000"/>
          <w:kern w:val="0"/>
          <w:sz w:val="32"/>
          <w:szCs w:val="32"/>
          <w:lang w:val="en-US" w:eastAsia="zh-CN"/>
        </w:rPr>
        <w:t>14.65</w:t>
      </w:r>
      <w:r>
        <w:rPr>
          <w:rFonts w:ascii="仿宋" w:hAnsi="仿宋" w:eastAsia="仿宋" w:cs="Arial"/>
          <w:color w:val="000000"/>
          <w:kern w:val="0"/>
          <w:sz w:val="32"/>
          <w:szCs w:val="32"/>
        </w:rPr>
        <w:t>万元，公务接待费</w:t>
      </w:r>
      <w:r>
        <w:rPr>
          <w:rFonts w:hint="eastAsia" w:ascii="仿宋" w:hAnsi="仿宋" w:eastAsia="仿宋" w:cs="Arial"/>
          <w:color w:val="000000"/>
          <w:kern w:val="0"/>
          <w:sz w:val="32"/>
          <w:szCs w:val="32"/>
          <w:lang w:val="en-US" w:eastAsia="zh-CN"/>
        </w:rPr>
        <w:t>0</w:t>
      </w:r>
      <w:r>
        <w:rPr>
          <w:rFonts w:ascii="仿宋" w:hAnsi="仿宋" w:eastAsia="仿宋" w:cs="Arial"/>
          <w:color w:val="000000"/>
          <w:kern w:val="0"/>
          <w:sz w:val="32"/>
          <w:szCs w:val="32"/>
        </w:rPr>
        <w:t>万元，因公出国经费0万元。“三公”经费支出未超出年初预算。</w:t>
      </w:r>
    </w:p>
    <w:p>
      <w:pPr>
        <w:numPr>
          <w:ilvl w:val="0"/>
          <w:numId w:val="1"/>
        </w:numPr>
        <w:ind w:firstLine="643" w:firstLineChars="200"/>
        <w:rPr>
          <w:rFonts w:hint="eastAsia" w:ascii="仿宋" w:hAnsi="仿宋" w:eastAsia="仿宋" w:cs="宋体"/>
          <w:b/>
          <w:bCs/>
          <w:color w:val="0F1214"/>
          <w:sz w:val="32"/>
          <w:szCs w:val="32"/>
        </w:rPr>
      </w:pPr>
      <w:r>
        <w:rPr>
          <w:rFonts w:hint="eastAsia" w:ascii="仿宋" w:hAnsi="仿宋" w:eastAsia="仿宋" w:cs="宋体"/>
          <w:b/>
          <w:bCs/>
          <w:color w:val="0F1214"/>
          <w:sz w:val="32"/>
          <w:szCs w:val="32"/>
        </w:rPr>
        <w:t>整体支出绩效</w:t>
      </w:r>
    </w:p>
    <w:p>
      <w:pPr>
        <w:numPr>
          <w:ilvl w:val="0"/>
          <w:numId w:val="0"/>
        </w:numPr>
        <w:ind w:firstLine="960" w:firstLineChars="300"/>
        <w:rPr>
          <w:rFonts w:hint="eastAsia" w:ascii="方正楷体简体" w:eastAsia="方正楷体简体"/>
          <w:sz w:val="32"/>
          <w:szCs w:val="32"/>
        </w:rPr>
      </w:pPr>
      <w:r>
        <w:rPr>
          <w:rFonts w:hint="eastAsia" w:ascii="方正楷体简体" w:eastAsia="方正楷体简体"/>
          <w:sz w:val="32"/>
          <w:szCs w:val="32"/>
          <w:lang w:val="en-US" w:eastAsia="zh-CN"/>
        </w:rPr>
        <w:t>1</w:t>
      </w:r>
      <w:r>
        <w:rPr>
          <w:rFonts w:hint="eastAsia" w:ascii="方正楷体简体" w:eastAsia="方正楷体简体"/>
          <w:sz w:val="32"/>
          <w:szCs w:val="32"/>
        </w:rPr>
        <w:t>.广泛宣传教育，城市管理氛围日益浓厚。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充分利用媒介。将城市管理相关法律法规规定刻录成电子版，在县电视台、政府网站、公共场所电子显示屏进行播放。二是印发宣传资料。制订整治通告、整改通知、温馨告知书、门前四包责任书及其他城市管理相关法律法规宣传资料，分发给广大商户和市民。三是积极答复各类建议、投诉。一年来，我局共出动宣传车100余台次，印发资料20万余份（册），处理建议投诉200余件（次）。通过广泛宣传，市民城市意识、文明意识、卫生意识得到不断增强。</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优化基础设施，城市服务功能不断提升。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环卫方面：道路清扫保洁到位，城区环境卫生状况不断改善；垃圾清运处理及时，县城每天约180吨、乡镇进入垃圾场约200吨的生活垃圾以及县城每天约10吨的餐厨垃圾，均做到日产日清，处理率达100%。县城建成投入使用垃圾中转站（含公厕）4座。新建公厕2座。建设完成并启用建筑渣土弃土场1个（逢爷弃土场）。新装果皮箱500余个。垃圾分类工作逐步推开，示范点（龙升社区）建设任务顺利完成。二是市政方面：完成人行道修补2500平方米，车行道路面修复约2000平方米，落实城区桥梁桥梁安全运行管理责任，排水设施完好，城区无污水外溢、无内涝，路灯管护到位，城区亮灯率达98%以上。三是绿化方面：开展植被修剪16次，整形5次，绿地杂草清除16次，病虫害防治30次，抗旱保苗83天，补植补缺乔木1700余株、 绿化模纹小苗92300棵、草坪2900平方米，更换各类草本花卉27万株，修复更换绿化设施97处，行道树木应急处置294株。</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加大执法力度，市容环境秩序持续改善。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是对中心城区实行全天候、无缝隙管控（执法大队早7:30上班、夜市中队晚23:00下班），一年来，取缔沿街叫卖、擦鞋卖艺、看相算命等流动摊点和占道经营摊点700余副（次）。二是结合交通顽瘴痼疾整治工作，采取疏导、警告、锁车、拖离等方式，持续开展小车、货车、摩托车、“共享单车”乱停乱放整治活动。全年共查处（罚款）违章停车6000余台（次），城区交通秩序较以往大有改观。三是协助社区、物业公司开展小区和城乡结合部市容市貌整治20余次，强力整治乱搭乱建、乱牵乱挂、乱扔乱丢等不文明行为。四是积极配合县“两违”办、县征拆办、各重点项目建设指挥部开展“两违”建筑巡查、管控，开展强制拆除行动10余次，有力确保了涉拆涉征重点建设项目的顺利推进，大大遏制了“两违”建设的嚣张态势。五是大力整治施工扬尘、工地围栏不规范、渣土运输污染、餐饮油烟油污、露天烧烤、噪音扰民、违规燃放烟花爆竹等违章行为，全年下发宣传资料50000余份、责令整改通知100余份，开展集中整治行动10余次，规范建设工地10余个，查处渣土污染12起、燃放违规烟花爆竹5起，劝导整改广场舞、餐饮抽油烟机、冻库制冷机噪音扰民行为20余起（次），规范夜市烧烤店（摊）60余户，暂扣占道夜宵摊20余副。</w:t>
      </w:r>
    </w:p>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line="420" w:lineRule="atLeast"/>
        <w:ind w:firstLine="643" w:firstLineChars="200"/>
        <w:jc w:val="left"/>
        <w:rPr>
          <w:rFonts w:ascii="仿宋" w:hAnsi="仿宋" w:eastAsia="仿宋" w:cs="宋体"/>
          <w:b/>
          <w:color w:val="0F1214"/>
          <w:sz w:val="32"/>
          <w:szCs w:val="32"/>
        </w:rPr>
      </w:pPr>
    </w:p>
    <w:p>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五、存在的问题和建议</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全年所实施的项目，年初县本级财政均未安排预算，项目实施后资金得不到保障。建议2022年初预算对我县全年市政设施维护项目予以安排资金，以保证项目的顺利实施。</w:t>
      </w:r>
    </w:p>
    <w:p>
      <w:pPr>
        <w:widowControl/>
        <w:shd w:val="clear" w:color="auto" w:fill="FFFFFF"/>
        <w:spacing w:line="480" w:lineRule="auto"/>
        <w:ind w:firstLine="480"/>
        <w:jc w:val="left"/>
        <w:rPr>
          <w:rFonts w:ascii="仿宋" w:hAnsi="仿宋" w:eastAsia="仿宋" w:cs="Arial"/>
          <w:color w:val="000000"/>
          <w:kern w:val="0"/>
          <w:sz w:val="32"/>
          <w:szCs w:val="32"/>
        </w:rPr>
      </w:pPr>
      <w:r>
        <w:rPr>
          <w:rFonts w:hint="eastAsia" w:ascii="仿宋" w:hAnsi="仿宋" w:eastAsia="仿宋" w:cs="Arial"/>
          <w:color w:val="000000"/>
          <w:kern w:val="0"/>
          <w:sz w:val="32"/>
          <w:szCs w:val="32"/>
          <w:lang w:eastAsia="zh-CN"/>
        </w:rPr>
        <w:t>附件</w:t>
      </w:r>
      <w:r>
        <w:rPr>
          <w:rFonts w:hint="eastAsia" w:ascii="仿宋" w:hAnsi="仿宋" w:eastAsia="仿宋" w:cs="Arial"/>
          <w:color w:val="000000"/>
          <w:kern w:val="0"/>
          <w:sz w:val="32"/>
          <w:szCs w:val="32"/>
          <w:lang w:val="en-US" w:eastAsia="zh-CN"/>
        </w:rPr>
        <w:t>1:</w:t>
      </w:r>
      <w:r>
        <w:rPr>
          <w:rFonts w:ascii="仿宋" w:hAnsi="仿宋" w:eastAsia="仿宋" w:cs="Arial"/>
          <w:color w:val="000000"/>
          <w:kern w:val="0"/>
          <w:sz w:val="32"/>
          <w:szCs w:val="32"/>
        </w:rPr>
        <w:t xml:space="preserve"> </w:t>
      </w:r>
      <w:r>
        <w:rPr>
          <w:rFonts w:hint="eastAsia" w:ascii="仿宋" w:hAnsi="仿宋" w:eastAsia="仿宋" w:cs="Arial"/>
          <w:color w:val="000000"/>
          <w:kern w:val="0"/>
          <w:sz w:val="32"/>
          <w:szCs w:val="32"/>
        </w:rPr>
        <w:t>部门整体支出绩效评价指标表</w:t>
      </w:r>
      <w:r>
        <w:rPr>
          <w:rFonts w:ascii="仿宋" w:hAnsi="仿宋" w:eastAsia="仿宋" w:cs="Arial"/>
          <w:color w:val="000000"/>
          <w:kern w:val="0"/>
          <w:sz w:val="32"/>
          <w:szCs w:val="32"/>
        </w:rPr>
        <w:t xml:space="preserve">                </w:t>
      </w:r>
    </w:p>
    <w:p>
      <w:pPr>
        <w:widowControl/>
        <w:shd w:val="clear" w:color="auto" w:fill="FFFFFF"/>
        <w:spacing w:line="480" w:lineRule="auto"/>
        <w:ind w:left="0" w:leftChars="0" w:firstLine="419" w:firstLineChars="131"/>
        <w:jc w:val="left"/>
        <w:rPr>
          <w:rFonts w:hint="eastAsia" w:ascii="仿宋" w:hAnsi="仿宋" w:eastAsia="仿宋" w:cs="Arial"/>
          <w:color w:val="000000"/>
          <w:kern w:val="0"/>
          <w:sz w:val="32"/>
          <w:szCs w:val="32"/>
          <w:lang w:val="en-US" w:eastAsia="zh-CN"/>
        </w:rPr>
      </w:pPr>
      <w:r>
        <w:rPr>
          <w:rFonts w:hint="eastAsia" w:ascii="仿宋" w:hAnsi="仿宋" w:eastAsia="仿宋" w:cs="Arial"/>
          <w:color w:val="000000"/>
          <w:kern w:val="0"/>
          <w:sz w:val="32"/>
          <w:szCs w:val="32"/>
          <w:lang w:val="en-US" w:eastAsia="zh-CN"/>
        </w:rPr>
        <w:t>附件2：部门整体支出绩效评价基础数据</w:t>
      </w:r>
    </w:p>
    <w:p>
      <w:pPr>
        <w:snapToGrid w:val="0"/>
        <w:spacing w:line="540" w:lineRule="atLeast"/>
        <w:ind w:firstLine="640" w:firstLineChars="200"/>
        <w:rPr>
          <w:rFonts w:hint="eastAsia" w:ascii="仿宋" w:hAnsi="仿宋" w:eastAsia="仿宋"/>
          <w:color w:val="FF0000"/>
          <w:sz w:val="32"/>
          <w:szCs w:val="32"/>
        </w:rPr>
      </w:pPr>
      <w:bookmarkStart w:id="0" w:name="_GoBack"/>
      <w:bookmarkEnd w:id="0"/>
    </w:p>
    <w:p>
      <w:pPr>
        <w:widowControl/>
        <w:shd w:val="clear" w:color="auto" w:fill="FFFFFF"/>
        <w:spacing w:line="480" w:lineRule="auto"/>
        <w:ind w:firstLine="480"/>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                          </w:t>
      </w:r>
      <w:r>
        <w:rPr>
          <w:rFonts w:ascii="仿宋" w:hAnsi="仿宋" w:eastAsia="仿宋" w:cs="Arial"/>
          <w:color w:val="000000"/>
          <w:kern w:val="0"/>
          <w:sz w:val="32"/>
          <w:szCs w:val="32"/>
        </w:rPr>
        <w:t>20</w:t>
      </w:r>
      <w:r>
        <w:rPr>
          <w:rFonts w:hint="eastAsia" w:ascii="仿宋" w:hAnsi="仿宋" w:eastAsia="仿宋" w:cs="Arial"/>
          <w:color w:val="000000"/>
          <w:kern w:val="0"/>
          <w:sz w:val="32"/>
          <w:szCs w:val="32"/>
          <w:lang w:val="en-US" w:eastAsia="zh-CN"/>
        </w:rPr>
        <w:t>22</w:t>
      </w:r>
      <w:r>
        <w:rPr>
          <w:rFonts w:ascii="仿宋" w:hAnsi="仿宋" w:eastAsia="仿宋" w:cs="Arial"/>
          <w:color w:val="000000"/>
          <w:kern w:val="0"/>
          <w:sz w:val="32"/>
          <w:szCs w:val="32"/>
        </w:rPr>
        <w:t>年</w:t>
      </w:r>
      <w:r>
        <w:rPr>
          <w:rFonts w:hint="eastAsia" w:ascii="仿宋" w:hAnsi="仿宋" w:eastAsia="仿宋" w:cs="Arial"/>
          <w:color w:val="000000"/>
          <w:kern w:val="0"/>
          <w:sz w:val="32"/>
          <w:szCs w:val="32"/>
          <w:lang w:val="en-US" w:eastAsia="zh-CN"/>
        </w:rPr>
        <w:t>5</w:t>
      </w:r>
      <w:r>
        <w:rPr>
          <w:rFonts w:ascii="仿宋" w:hAnsi="仿宋" w:eastAsia="仿宋" w:cs="Arial"/>
          <w:color w:val="000000"/>
          <w:kern w:val="0"/>
          <w:sz w:val="32"/>
          <w:szCs w:val="32"/>
        </w:rPr>
        <w:t>月</w:t>
      </w:r>
      <w:r>
        <w:rPr>
          <w:rFonts w:hint="eastAsia" w:ascii="仿宋" w:hAnsi="仿宋" w:eastAsia="仿宋" w:cs="Arial"/>
          <w:color w:val="000000"/>
          <w:kern w:val="0"/>
          <w:sz w:val="32"/>
          <w:szCs w:val="32"/>
          <w:lang w:val="en-US" w:eastAsia="zh-CN"/>
        </w:rPr>
        <w:t>30</w:t>
      </w:r>
      <w:r>
        <w:rPr>
          <w:rFonts w:ascii="仿宋" w:hAnsi="仿宋" w:eastAsia="仿宋" w:cs="Arial"/>
          <w:color w:val="000000"/>
          <w:kern w:val="0"/>
          <w:sz w:val="32"/>
          <w:szCs w:val="32"/>
        </w:rPr>
        <w:t>日</w:t>
      </w: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spacing w:line="560" w:lineRule="exact"/>
        <w:jc w:val="center"/>
        <w:rPr>
          <w:sz w:val="24"/>
        </w:rPr>
      </w:pPr>
      <w:r>
        <w:rPr>
          <w:rFonts w:eastAsia="方正小标宋_GBK"/>
          <w:sz w:val="36"/>
          <w:szCs w:val="36"/>
        </w:rPr>
        <w:t>部门整体支出绩效评价指标表</w:t>
      </w:r>
    </w:p>
    <w:tbl>
      <w:tblPr>
        <w:tblStyle w:val="4"/>
        <w:tblW w:w="10600" w:type="dxa"/>
        <w:jc w:val="center"/>
        <w:tblLayout w:type="fixed"/>
        <w:tblCellMar>
          <w:top w:w="0" w:type="dxa"/>
          <w:left w:w="10" w:type="dxa"/>
          <w:bottom w:w="0" w:type="dxa"/>
          <w:right w:w="10" w:type="dxa"/>
        </w:tblCellMar>
      </w:tblPr>
      <w:tblGrid>
        <w:gridCol w:w="518"/>
        <w:gridCol w:w="416"/>
        <w:gridCol w:w="677"/>
        <w:gridCol w:w="416"/>
        <w:gridCol w:w="1014"/>
        <w:gridCol w:w="416"/>
        <w:gridCol w:w="3016"/>
        <w:gridCol w:w="3490"/>
        <w:gridCol w:w="637"/>
      </w:tblGrid>
      <w:tr>
        <w:tblPrEx>
          <w:tblCellMar>
            <w:top w:w="0" w:type="dxa"/>
            <w:left w:w="10" w:type="dxa"/>
            <w:bottom w:w="0" w:type="dxa"/>
            <w:right w:w="10" w:type="dxa"/>
          </w:tblCellMar>
        </w:tblPrEx>
        <w:trPr>
          <w:trHeight w:val="0" w:hRule="atLeast"/>
          <w:tblHeader/>
          <w:jc w:val="center"/>
        </w:trPr>
        <w:tc>
          <w:tcPr>
            <w:tcW w:w="5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一级指标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分值</w:t>
            </w:r>
          </w:p>
        </w:tc>
        <w:tc>
          <w:tcPr>
            <w:tcW w:w="67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二级指标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分值</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三级</w:t>
            </w:r>
          </w:p>
          <w:p>
            <w:pPr>
              <w:widowControl/>
              <w:jc w:val="center"/>
              <w:rPr>
                <w:rFonts w:eastAsia="仿宋_GB2312"/>
                <w:sz w:val="20"/>
                <w:szCs w:val="20"/>
              </w:rPr>
            </w:pPr>
            <w:r>
              <w:rPr>
                <w:rFonts w:eastAsia="仿宋_GB2312"/>
                <w:sz w:val="20"/>
                <w:szCs w:val="20"/>
              </w:rPr>
              <w:t>指标</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分值</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评价标准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指标说明</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得分</w:t>
            </w:r>
          </w:p>
        </w:tc>
      </w:tr>
      <w:tr>
        <w:tblPrEx>
          <w:tblCellMar>
            <w:top w:w="0" w:type="dxa"/>
            <w:left w:w="10" w:type="dxa"/>
            <w:bottom w:w="0" w:type="dxa"/>
            <w:right w:w="10" w:type="dxa"/>
          </w:tblCellMar>
        </w:tblPrEx>
        <w:trPr>
          <w:trHeight w:val="1814"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投入</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10</w:t>
            </w: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预算配置</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10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在职人员控制率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nil"/>
              <w:right w:val="nil"/>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以100%为标准。在职人员控制率</w:t>
            </w:r>
            <w:r>
              <w:rPr>
                <w:sz w:val="20"/>
                <w:szCs w:val="20"/>
              </w:rPr>
              <w:t>≦</w:t>
            </w:r>
            <w:r>
              <w:rPr>
                <w:rFonts w:eastAsia="仿宋_GB2312"/>
                <w:sz w:val="20"/>
                <w:szCs w:val="20"/>
              </w:rPr>
              <w:t>100%，计5分；每超过一个百分点扣0.5分，扣完为止。</w:t>
            </w:r>
          </w:p>
        </w:tc>
        <w:tc>
          <w:tcPr>
            <w:tcW w:w="349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在职人员控制率=（在职人员数/编制数）×100%，在职人员数：部门（单位）实际在职人数，以财政确定的部门决算编制口径为准。</w:t>
            </w:r>
            <w:r>
              <w:rPr>
                <w:rFonts w:eastAsia="仿宋_GB2312"/>
                <w:sz w:val="20"/>
                <w:szCs w:val="20"/>
              </w:rPr>
              <w:br w:type="textWrapping"/>
            </w:r>
            <w:r>
              <w:rPr>
                <w:rFonts w:eastAsia="仿宋_GB2312"/>
                <w:sz w:val="20"/>
                <w:szCs w:val="20"/>
              </w:rPr>
              <w:t>编制数：机构编制部门核定批复的部门（单位）的人员编制数。</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5</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“三公经费”变动率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“三公经费”变动率</w:t>
            </w:r>
            <w:r>
              <w:rPr>
                <w:sz w:val="20"/>
                <w:szCs w:val="20"/>
              </w:rPr>
              <w:t>≦</w:t>
            </w:r>
            <w:r>
              <w:rPr>
                <w:rFonts w:eastAsia="仿宋_GB2312"/>
                <w:sz w:val="20"/>
                <w:szCs w:val="20"/>
              </w:rPr>
              <w:t>0,计8分；“三公经费”＞0，每超过一个百分点扣0.8分，扣完为止。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“三公经费”变动率=[（本年度“三公经费”预算数-上年度“三公经费”预算数）/上年度“三公经费”预算数]×100%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rFonts w:hint="eastAsia" w:eastAsia="宋体"/>
                <w:sz w:val="24"/>
                <w:lang w:val="en-US" w:eastAsia="zh-CN"/>
              </w:rPr>
            </w:pPr>
            <w:r>
              <w:rPr>
                <w:rFonts w:hint="eastAsia"/>
                <w:sz w:val="24"/>
                <w:lang w:val="en-US" w:eastAsia="zh-CN"/>
              </w:rPr>
              <w:t>3</w:t>
            </w:r>
          </w:p>
        </w:tc>
      </w:tr>
      <w:tr>
        <w:tblPrEx>
          <w:tblCellMar>
            <w:top w:w="0" w:type="dxa"/>
            <w:left w:w="10" w:type="dxa"/>
            <w:bottom w:w="0" w:type="dxa"/>
            <w:right w:w="10" w:type="dxa"/>
          </w:tblCellMar>
        </w:tblPrEx>
        <w:trPr>
          <w:trHeight w:val="0"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过                                                                                                                                       程</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60</w:t>
            </w: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预算执行</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20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100%计满分，每低于5%扣2分，扣完为止。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预算完成率=（上年结转+年初预算+本年追加预算-年末结余）/（上年结转+年初预算+本年追加预算）×100%。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ind w:firstLine="240" w:firstLineChars="100"/>
              <w:jc w:val="left"/>
              <w:rPr>
                <w:sz w:val="24"/>
              </w:rPr>
            </w:pPr>
            <w:r>
              <w:rPr>
                <w:rFonts w:hint="eastAsia"/>
                <w:sz w:val="24"/>
                <w:lang w:val="en-US" w:eastAsia="zh-CN"/>
              </w:rPr>
              <w:t>4</w:t>
            </w:r>
            <w:r>
              <w:rPr>
                <w:sz w:val="24"/>
              </w:rPr>
              <w:t>　</w:t>
            </w:r>
          </w:p>
        </w:tc>
      </w:tr>
      <w:tr>
        <w:tblPrEx>
          <w:tblCellMar>
            <w:top w:w="0" w:type="dxa"/>
            <w:left w:w="10" w:type="dxa"/>
            <w:bottom w:w="0" w:type="dxa"/>
            <w:right w:w="10" w:type="dxa"/>
          </w:tblCellMar>
        </w:tblPrEx>
        <w:trPr>
          <w:trHeight w:val="12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预算控制率=0，计5分；0-10%（含），计4分；10-20%（含），计3分；20-30%（含），计2分；大于30%不得分。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预算控制率=（本年追加预算/年初预算）×100%。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4</w:t>
            </w:r>
          </w:p>
        </w:tc>
      </w:tr>
      <w:tr>
        <w:tblPrEx>
          <w:tblCellMar>
            <w:top w:w="0" w:type="dxa"/>
            <w:left w:w="10" w:type="dxa"/>
            <w:bottom w:w="0" w:type="dxa"/>
            <w:right w:w="10" w:type="dxa"/>
          </w:tblCellMar>
        </w:tblPrEx>
        <w:trPr>
          <w:trHeight w:val="1325"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新建楼堂馆所面积控制率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100%以下（含）计满分，每超出5%扣2分，扣完为止。没有楼堂馆所项目的部门按满分计算。</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楼堂馆所面积控制率=实际建设面积/批准建设面积×100% 。</w:t>
            </w:r>
            <w:r>
              <w:rPr>
                <w:rFonts w:eastAsia="仿宋_GB2312"/>
                <w:sz w:val="20"/>
                <w:szCs w:val="20"/>
              </w:rPr>
              <w:br w:type="textWrapping"/>
            </w:r>
            <w:r>
              <w:rPr>
                <w:rFonts w:eastAsia="仿宋_GB2312"/>
                <w:sz w:val="20"/>
                <w:szCs w:val="20"/>
              </w:rPr>
              <w:t>该指标以201</w:t>
            </w:r>
            <w:r>
              <w:rPr>
                <w:rFonts w:hint="eastAsia" w:eastAsia="仿宋_GB2312"/>
                <w:sz w:val="20"/>
                <w:szCs w:val="20"/>
              </w:rPr>
              <w:t>7</w:t>
            </w:r>
            <w:r>
              <w:rPr>
                <w:rFonts w:eastAsia="仿宋_GB2312"/>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5</w:t>
            </w:r>
          </w:p>
        </w:tc>
      </w:tr>
      <w:tr>
        <w:tblPrEx>
          <w:tblCellMar>
            <w:top w:w="0" w:type="dxa"/>
            <w:left w:w="10" w:type="dxa"/>
            <w:bottom w:w="0" w:type="dxa"/>
            <w:right w:w="10" w:type="dxa"/>
          </w:tblCellMar>
        </w:tblPrEx>
        <w:trPr>
          <w:trHeight w:val="154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新建楼堂馆所投资概算控制率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100%以下（含）计满分，每超出5%扣2分，扣完为止。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楼堂馆所投资预算控制率=实际投资金额/批准投资金额×100% 。</w:t>
            </w:r>
            <w:r>
              <w:rPr>
                <w:rFonts w:eastAsia="仿宋_GB2312"/>
                <w:sz w:val="20"/>
                <w:szCs w:val="20"/>
              </w:rPr>
              <w:br w:type="textWrapping"/>
            </w:r>
            <w:r>
              <w:rPr>
                <w:rFonts w:eastAsia="仿宋_GB2312"/>
                <w:sz w:val="20"/>
                <w:szCs w:val="20"/>
              </w:rPr>
              <w:t>该指标以201</w:t>
            </w:r>
            <w:r>
              <w:rPr>
                <w:rFonts w:hint="eastAsia" w:eastAsia="仿宋_GB2312"/>
                <w:sz w:val="20"/>
                <w:szCs w:val="20"/>
              </w:rPr>
              <w:t>7</w:t>
            </w:r>
            <w:r>
              <w:rPr>
                <w:rFonts w:eastAsia="仿宋_GB2312"/>
                <w:sz w:val="20"/>
                <w:szCs w:val="20"/>
              </w:rPr>
              <w:t>年完工的新建楼堂馆所为评价内容。</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5</w:t>
            </w:r>
          </w:p>
        </w:tc>
      </w:tr>
      <w:tr>
        <w:tblPrEx>
          <w:tblCellMar>
            <w:top w:w="0" w:type="dxa"/>
            <w:left w:w="10" w:type="dxa"/>
            <w:bottom w:w="0" w:type="dxa"/>
            <w:right w:w="10" w:type="dxa"/>
          </w:tblCellMar>
        </w:tblPrEx>
        <w:trPr>
          <w:trHeight w:val="1562"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预算管理</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40</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公用经费控制率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公用经费控制率=（实际支出公用经费总额/预算安排公用经费总额）×100%。</w:t>
            </w:r>
            <w:r>
              <w:rPr>
                <w:rFonts w:eastAsia="仿宋_GB2312"/>
                <w:sz w:val="20"/>
                <w:szCs w:val="20"/>
              </w:rPr>
              <w:br w:type="textWrapping"/>
            </w:r>
            <w:r>
              <w:rPr>
                <w:rFonts w:eastAsia="仿宋_GB2312"/>
                <w:sz w:val="20"/>
                <w:szCs w:val="20"/>
              </w:rPr>
              <w:t>公用经费支出是指部门基本支出中的一般商品和服务支出。</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7</w:t>
            </w:r>
          </w:p>
        </w:tc>
      </w:tr>
      <w:tr>
        <w:tblPrEx>
          <w:tblCellMar>
            <w:top w:w="0" w:type="dxa"/>
            <w:left w:w="10" w:type="dxa"/>
            <w:bottom w:w="0" w:type="dxa"/>
            <w:right w:w="10" w:type="dxa"/>
          </w:tblCellMar>
        </w:tblPrEx>
        <w:trPr>
          <w:trHeight w:val="1073"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“三公经费”控制率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7</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100%以下（含）计满分，每超出1%扣1分，扣完为止。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“三公经费”控制率-（“三公经费”实际支出数/“三公经费”预算安排数）×100%。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7</w:t>
            </w:r>
          </w:p>
        </w:tc>
      </w:tr>
      <w:tr>
        <w:tblPrEx>
          <w:tblCellMar>
            <w:top w:w="0" w:type="dxa"/>
            <w:left w:w="10" w:type="dxa"/>
            <w:bottom w:w="0" w:type="dxa"/>
            <w:right w:w="10" w:type="dxa"/>
          </w:tblCellMar>
        </w:tblPrEx>
        <w:trPr>
          <w:trHeight w:val="918"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政府采购执行率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100%计满分，每超过（降低）5%扣2分。扣完为止。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政府采购执行率=（实际政府采购金额/政府采购预算数）×100%</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6</w:t>
            </w:r>
          </w:p>
        </w:tc>
      </w:tr>
      <w:tr>
        <w:tblPrEx>
          <w:tblCellMar>
            <w:top w:w="0" w:type="dxa"/>
            <w:left w:w="10" w:type="dxa"/>
            <w:bottom w:w="0" w:type="dxa"/>
            <w:right w:w="10" w:type="dxa"/>
          </w:tblCellMar>
        </w:tblPrEx>
        <w:trPr>
          <w:trHeight w:val="0" w:hRule="atLeast"/>
          <w:jc w:val="center"/>
        </w:trPr>
        <w:tc>
          <w:tcPr>
            <w:tcW w:w="51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仿宋_GB2312"/>
                <w:sz w:val="20"/>
                <w:szCs w:val="20"/>
              </w:rPr>
            </w:pPr>
            <w:r>
              <w:rPr>
                <w:rFonts w:eastAsia="仿宋_GB2312"/>
                <w:sz w:val="20"/>
                <w:szCs w:val="20"/>
              </w:rPr>
              <w:t>过                                                                                                                                       程</w:t>
            </w:r>
          </w:p>
        </w:tc>
        <w:tc>
          <w:tcPr>
            <w:tcW w:w="41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仿宋_GB2312"/>
                <w:sz w:val="20"/>
                <w:szCs w:val="20"/>
              </w:rPr>
            </w:pPr>
          </w:p>
        </w:tc>
        <w:tc>
          <w:tcPr>
            <w:tcW w:w="677" w:type="dxa"/>
            <w:vMerge w:val="restart"/>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预算管理</w:t>
            </w: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管理制度健全性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①有内部财务管理制度、会计核算制度等管理制度，2分；</w:t>
            </w:r>
            <w:r>
              <w:rPr>
                <w:rFonts w:eastAsia="仿宋_GB2312"/>
                <w:sz w:val="20"/>
                <w:szCs w:val="20"/>
              </w:rPr>
              <w:br w:type="textWrapping"/>
            </w:r>
            <w:r>
              <w:rPr>
                <w:rFonts w:eastAsia="仿宋_GB2312"/>
                <w:sz w:val="20"/>
                <w:szCs w:val="20"/>
              </w:rPr>
              <w:t>②有本部门厉行节约制度,2分；</w:t>
            </w:r>
            <w:r>
              <w:rPr>
                <w:rFonts w:eastAsia="仿宋_GB2312"/>
                <w:sz w:val="20"/>
                <w:szCs w:val="20"/>
              </w:rPr>
              <w:br w:type="textWrapping"/>
            </w:r>
            <w:r>
              <w:rPr>
                <w:rFonts w:eastAsia="仿宋_GB2312"/>
                <w:sz w:val="20"/>
                <w:szCs w:val="20"/>
              </w:rPr>
              <w:t>③相关管理制度合法、合规、完整，2分；④相关管理制度得到有效执行，2分。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8</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资金使用合规性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eastAsia="仿宋_GB2312"/>
                <w:sz w:val="20"/>
                <w:szCs w:val="20"/>
              </w:rPr>
              <w:br w:type="textWrapping"/>
            </w:r>
            <w:r>
              <w:rPr>
                <w:rFonts w:eastAsia="仿宋_GB2312"/>
                <w:sz w:val="20"/>
                <w:szCs w:val="20"/>
              </w:rPr>
              <w:t>以上情况每出现一例不符合要求的扣1分，扣完为止。</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6</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nil"/>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预决算信息公开性</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5</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预决算信息是指与部门预算、执行、决算、监督、绩效等管理相关的信息。</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5</w:t>
            </w:r>
          </w:p>
        </w:tc>
      </w:tr>
      <w:tr>
        <w:tblPrEx>
          <w:tblCellMar>
            <w:top w:w="0" w:type="dxa"/>
            <w:left w:w="10" w:type="dxa"/>
            <w:bottom w:w="0" w:type="dxa"/>
            <w:right w:w="10" w:type="dxa"/>
          </w:tblCellMar>
        </w:tblPrEx>
        <w:trPr>
          <w:trHeight w:val="0" w:hRule="atLeast"/>
          <w:jc w:val="center"/>
        </w:trPr>
        <w:tc>
          <w:tcPr>
            <w:tcW w:w="518"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产出及效率</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30</w:t>
            </w:r>
          </w:p>
        </w:tc>
        <w:tc>
          <w:tcPr>
            <w:tcW w:w="67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职责履行</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8</w:t>
            </w:r>
          </w:p>
        </w:tc>
        <w:tc>
          <w:tcPr>
            <w:tcW w:w="1014"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重点工作实际完成率</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8</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根据绩效办201</w:t>
            </w:r>
            <w:r>
              <w:rPr>
                <w:rFonts w:hint="eastAsia" w:eastAsia="仿宋_GB2312"/>
                <w:sz w:val="20"/>
                <w:szCs w:val="20"/>
              </w:rPr>
              <w:t>7</w:t>
            </w:r>
            <w:r>
              <w:rPr>
                <w:rFonts w:eastAsia="仿宋_GB2312"/>
                <w:sz w:val="20"/>
                <w:szCs w:val="20"/>
              </w:rPr>
              <w:t>年对各部门为民办实事和部门重点工程与重点工作考核分数折算。</w:t>
            </w:r>
            <w:r>
              <w:rPr>
                <w:rFonts w:eastAsia="仿宋_GB2312"/>
                <w:sz w:val="20"/>
                <w:szCs w:val="20"/>
              </w:rPr>
              <w:br w:type="textWrapping"/>
            </w:r>
            <w:r>
              <w:rPr>
                <w:rFonts w:eastAsia="仿宋_GB2312"/>
                <w:sz w:val="20"/>
                <w:szCs w:val="20"/>
              </w:rPr>
              <w:t>该项得分=（绩效办对应部分考核得分/</w:t>
            </w:r>
            <w:r>
              <w:rPr>
                <w:rFonts w:hint="eastAsia" w:eastAsia="仿宋_GB2312"/>
                <w:sz w:val="20"/>
                <w:szCs w:val="20"/>
              </w:rPr>
              <w:t>100</w:t>
            </w:r>
            <w:r>
              <w:rPr>
                <w:rFonts w:eastAsia="仿宋_GB2312"/>
                <w:sz w:val="20"/>
                <w:szCs w:val="20"/>
              </w:rPr>
              <w:t>）*8</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　</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8</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履职 效益</w:t>
            </w: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10</w:t>
            </w:r>
          </w:p>
        </w:tc>
        <w:tc>
          <w:tcPr>
            <w:tcW w:w="1014"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经济效益</w:t>
            </w:r>
          </w:p>
        </w:tc>
        <w:tc>
          <w:tcPr>
            <w:tcW w:w="416" w:type="dxa"/>
            <w:vMerge w:val="restart"/>
            <w:tcBorders>
              <w:top w:val="nil"/>
              <w:left w:val="single" w:color="000000" w:sz="4" w:space="0"/>
              <w:bottom w:val="nil"/>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10</w:t>
            </w:r>
          </w:p>
        </w:tc>
        <w:tc>
          <w:tcPr>
            <w:tcW w:w="6506" w:type="dxa"/>
            <w:gridSpan w:val="2"/>
            <w:vMerge w:val="restart"/>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ind w:left="240" w:hanging="240" w:hangingChars="100"/>
              <w:jc w:val="left"/>
              <w:rPr>
                <w:rFonts w:hint="eastAsia" w:eastAsia="宋体"/>
                <w:sz w:val="24"/>
                <w:lang w:val="en-US" w:eastAsia="zh-CN"/>
              </w:rPr>
            </w:pPr>
            <w:r>
              <w:rPr>
                <w:rFonts w:hint="eastAsia"/>
                <w:sz w:val="24"/>
                <w:lang w:val="en-US" w:eastAsia="zh-CN"/>
              </w:rPr>
              <w:t>10</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社会效益</w:t>
            </w:r>
          </w:p>
        </w:tc>
        <w:tc>
          <w:tcPr>
            <w:tcW w:w="416" w:type="dxa"/>
            <w:vMerge w:val="continue"/>
            <w:tcBorders>
              <w:top w:val="nil"/>
              <w:left w:val="single" w:color="000000" w:sz="4" w:space="0"/>
              <w:bottom w:val="nil"/>
              <w:right w:val="single" w:color="000000" w:sz="4" w:space="0"/>
            </w:tcBorders>
            <w:tcMar>
              <w:top w:w="0" w:type="dxa"/>
              <w:left w:w="108" w:type="dxa"/>
              <w:bottom w:w="0" w:type="dxa"/>
              <w:right w:w="108" w:type="dxa"/>
            </w:tcMar>
            <w:vAlign w:val="center"/>
          </w:tcPr>
          <w:p/>
        </w:tc>
        <w:tc>
          <w:tcPr>
            <w:tcW w:w="6506" w:type="dxa"/>
            <w:gridSpan w:val="2"/>
            <w:vMerge w:val="continue"/>
            <w:tcBorders>
              <w:top w:val="single" w:color="000000" w:sz="4" w:space="0"/>
              <w:left w:val="single" w:color="000000" w:sz="4" w:space="0"/>
              <w:bottom w:val="nil"/>
              <w:right w:val="single" w:color="000000" w:sz="4" w:space="0"/>
            </w:tcBorders>
            <w:tcMar>
              <w:top w:w="0" w:type="dxa"/>
              <w:left w:w="108" w:type="dxa"/>
              <w:bottom w:w="0" w:type="dxa"/>
              <w:right w:w="108" w:type="dxa"/>
            </w:tcMar>
            <w:vAlign w:val="center"/>
          </w:tcPr>
          <w:p/>
        </w:tc>
        <w:tc>
          <w:tcPr>
            <w:tcW w:w="637" w:type="dxa"/>
            <w:tcBorders>
              <w:top w:val="nil"/>
              <w:left w:val="nil"/>
              <w:bottom w:val="nil"/>
              <w:right w:val="single" w:color="000000" w:sz="4" w:space="0"/>
            </w:tcBorders>
            <w:tcMar>
              <w:top w:w="0" w:type="dxa"/>
              <w:left w:w="108" w:type="dxa"/>
              <w:bottom w:w="0" w:type="dxa"/>
              <w:right w:w="108" w:type="dxa"/>
            </w:tcMar>
            <w:vAlign w:val="center"/>
          </w:tcPr>
          <w:p>
            <w:pPr>
              <w:widowControl/>
              <w:jc w:val="left"/>
              <w:rPr>
                <w:sz w:val="24"/>
              </w:rPr>
            </w:pPr>
            <w:r>
              <w:rPr>
                <w:sz w:val="24"/>
              </w:rPr>
              <w:t>　</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12</w:t>
            </w: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行政效能</w:t>
            </w:r>
          </w:p>
        </w:tc>
        <w:tc>
          <w:tcPr>
            <w:tcW w:w="4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6</w:t>
            </w:r>
          </w:p>
        </w:tc>
        <w:tc>
          <w:tcPr>
            <w:tcW w:w="30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促进部门改进文风会风，加强经费及资产管理，推动网上办事，提高行政效率，降低行政成本效果较好的计6分；一般3分；无效果或者效果不明显0分。</w:t>
            </w:r>
          </w:p>
        </w:tc>
        <w:tc>
          <w:tcPr>
            <w:tcW w:w="3490"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根据部门自评材料评定。</w:t>
            </w:r>
          </w:p>
        </w:tc>
        <w:tc>
          <w:tcPr>
            <w:tcW w:w="63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6</w:t>
            </w:r>
          </w:p>
        </w:tc>
      </w:tr>
      <w:tr>
        <w:tblPrEx>
          <w:tblCellMar>
            <w:top w:w="0" w:type="dxa"/>
            <w:left w:w="10" w:type="dxa"/>
            <w:bottom w:w="0" w:type="dxa"/>
            <w:right w:w="10" w:type="dxa"/>
          </w:tblCellMar>
        </w:tblPrEx>
        <w:trPr>
          <w:trHeight w:val="0" w:hRule="atLeast"/>
          <w:jc w:val="center"/>
        </w:trPr>
        <w:tc>
          <w:tcPr>
            <w:tcW w:w="518"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677"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416"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01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社会公众或服务对象满意度</w:t>
            </w:r>
          </w:p>
        </w:tc>
        <w:tc>
          <w:tcPr>
            <w:tcW w:w="4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0"/>
                <w:szCs w:val="20"/>
              </w:rPr>
            </w:pPr>
            <w:r>
              <w:rPr>
                <w:rFonts w:eastAsia="仿宋_GB2312"/>
                <w:sz w:val="20"/>
                <w:szCs w:val="20"/>
              </w:rPr>
              <w:t>6</w:t>
            </w:r>
          </w:p>
        </w:tc>
        <w:tc>
          <w:tcPr>
            <w:tcW w:w="3016"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90%（含）以上计6分；</w:t>
            </w:r>
            <w:r>
              <w:rPr>
                <w:rFonts w:eastAsia="仿宋_GB2312"/>
                <w:sz w:val="20"/>
                <w:szCs w:val="20"/>
              </w:rPr>
              <w:br w:type="textWrapping"/>
            </w:r>
            <w:r>
              <w:rPr>
                <w:rFonts w:eastAsia="仿宋_GB2312"/>
                <w:sz w:val="20"/>
                <w:szCs w:val="20"/>
              </w:rPr>
              <w:t>80%（含）-90%，计4分；</w:t>
            </w:r>
            <w:r>
              <w:rPr>
                <w:rFonts w:eastAsia="仿宋_GB2312"/>
                <w:sz w:val="20"/>
                <w:szCs w:val="20"/>
              </w:rPr>
              <w:br w:type="textWrapping"/>
            </w:r>
            <w:r>
              <w:rPr>
                <w:rFonts w:eastAsia="仿宋_GB2312"/>
                <w:sz w:val="20"/>
                <w:szCs w:val="20"/>
              </w:rPr>
              <w:t>70%（含）-80%，计2分；</w:t>
            </w:r>
            <w:r>
              <w:rPr>
                <w:rFonts w:eastAsia="仿宋_GB2312"/>
                <w:sz w:val="20"/>
                <w:szCs w:val="20"/>
              </w:rPr>
              <w:br w:type="textWrapping"/>
            </w:r>
            <w:r>
              <w:rPr>
                <w:rFonts w:eastAsia="仿宋_GB2312"/>
                <w:sz w:val="20"/>
                <w:szCs w:val="20"/>
              </w:rPr>
              <w:t>低于70%计0分。</w:t>
            </w:r>
          </w:p>
        </w:tc>
        <w:tc>
          <w:tcPr>
            <w:tcW w:w="34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0"/>
                <w:szCs w:val="20"/>
              </w:rPr>
            </w:pPr>
            <w:r>
              <w:rPr>
                <w:rFonts w:eastAsia="仿宋_GB2312"/>
                <w:sz w:val="20"/>
                <w:szCs w:val="20"/>
              </w:rPr>
              <w:t>社会公众或服务对象是指部门（单位）履行职责而影响到的部门、群体或个人，一般采取社会调查的方式。</w:t>
            </w:r>
          </w:p>
        </w:tc>
        <w:tc>
          <w:tcPr>
            <w:tcW w:w="637"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hint="eastAsia" w:eastAsia="宋体"/>
                <w:sz w:val="24"/>
                <w:lang w:val="en-US" w:eastAsia="zh-CN"/>
              </w:rPr>
            </w:pPr>
            <w:r>
              <w:rPr>
                <w:sz w:val="24"/>
              </w:rPr>
              <w:t>　</w:t>
            </w:r>
            <w:r>
              <w:rPr>
                <w:rFonts w:hint="eastAsia"/>
                <w:sz w:val="24"/>
                <w:lang w:val="en-US" w:eastAsia="zh-CN"/>
              </w:rPr>
              <w:t>6</w:t>
            </w:r>
          </w:p>
        </w:tc>
      </w:tr>
    </w:tbl>
    <w:p>
      <w:pPr>
        <w:spacing w:line="560" w:lineRule="exact"/>
        <w:rPr>
          <w:rFonts w:eastAsia="黑体"/>
          <w:sz w:val="28"/>
          <w:szCs w:val="28"/>
        </w:rPr>
      </w:pPr>
      <w:r>
        <w:br w:type="page"/>
      </w:r>
    </w:p>
    <w:p>
      <w:pPr>
        <w:spacing w:line="560" w:lineRule="exact"/>
        <w:rPr>
          <w:rFonts w:hint="eastAsia" w:eastAsia="黑体"/>
          <w:sz w:val="32"/>
          <w:szCs w:val="32"/>
          <w:lang w:eastAsia="zh-CN"/>
        </w:rPr>
      </w:pPr>
      <w:r>
        <w:rPr>
          <w:rFonts w:eastAsia="黑体"/>
          <w:sz w:val="32"/>
          <w:szCs w:val="32"/>
        </w:rPr>
        <w:t>附件</w:t>
      </w:r>
      <w:r>
        <w:rPr>
          <w:rFonts w:hint="eastAsia" w:eastAsia="黑体"/>
          <w:sz w:val="32"/>
          <w:szCs w:val="32"/>
          <w:lang w:val="en-US" w:eastAsia="zh-CN"/>
        </w:rPr>
        <w:t>2</w:t>
      </w:r>
    </w:p>
    <w:p>
      <w:pPr>
        <w:spacing w:line="560" w:lineRule="exact"/>
        <w:jc w:val="center"/>
        <w:rPr>
          <w:rFonts w:eastAsia="方正小标宋_GBK"/>
          <w:sz w:val="36"/>
          <w:szCs w:val="36"/>
        </w:rPr>
      </w:pPr>
      <w:r>
        <w:rPr>
          <w:rFonts w:eastAsia="方正小标宋_GBK"/>
          <w:sz w:val="36"/>
          <w:szCs w:val="36"/>
        </w:rPr>
        <w:t>部门整体支出绩效评价基础数据</w:t>
      </w:r>
    </w:p>
    <w:p>
      <w:pPr>
        <w:spacing w:line="560" w:lineRule="exact"/>
        <w:jc w:val="both"/>
        <w:rPr>
          <w:rFonts w:eastAsia="仿宋_GB2312"/>
          <w:sz w:val="24"/>
        </w:rPr>
      </w:pPr>
      <w:r>
        <w:rPr>
          <w:rFonts w:eastAsia="仿宋_GB2312"/>
          <w:sz w:val="24"/>
        </w:rPr>
        <w:t>填报单位：</w:t>
      </w:r>
      <w:r>
        <w:rPr>
          <w:rFonts w:hint="eastAsia" w:eastAsia="仿宋_GB2312"/>
          <w:sz w:val="24"/>
          <w:lang w:eastAsia="zh-CN"/>
        </w:rPr>
        <w:t>麻阳县城市管理行政执法大队</w:t>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r>
        <w:rPr>
          <w:rFonts w:eastAsia="仿宋_GB2312"/>
          <w:sz w:val="24"/>
        </w:rPr>
        <w:tab/>
      </w:r>
    </w:p>
    <w:tbl>
      <w:tblPr>
        <w:tblStyle w:val="4"/>
        <w:tblW w:w="10339" w:type="dxa"/>
        <w:jc w:val="center"/>
        <w:tblLayout w:type="fixed"/>
        <w:tblCellMar>
          <w:top w:w="0" w:type="dxa"/>
          <w:left w:w="10" w:type="dxa"/>
          <w:bottom w:w="0" w:type="dxa"/>
          <w:right w:w="10" w:type="dxa"/>
        </w:tblCellMar>
      </w:tblPr>
      <w:tblGrid>
        <w:gridCol w:w="3550"/>
        <w:gridCol w:w="1190"/>
        <w:gridCol w:w="1170"/>
        <w:gridCol w:w="1130"/>
        <w:gridCol w:w="1465"/>
        <w:gridCol w:w="970"/>
        <w:gridCol w:w="864"/>
      </w:tblGrid>
      <w:tr>
        <w:tblPrEx>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财政供养人员情况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编制数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hint="eastAsia" w:eastAsia="仿宋_GB2312"/>
                <w:b/>
                <w:bCs/>
                <w:sz w:val="24"/>
                <w:lang w:eastAsia="zh-CN"/>
              </w:rPr>
              <w:t>2021</w:t>
            </w:r>
            <w:r>
              <w:rPr>
                <w:rFonts w:eastAsia="仿宋_GB2312"/>
                <w:b/>
                <w:bCs/>
                <w:sz w:val="24"/>
              </w:rPr>
              <w:t>年实际在职人数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88</w:t>
            </w: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84</w:t>
            </w: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100%</w:t>
            </w: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经费控制情况</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20</w:t>
            </w:r>
            <w:r>
              <w:rPr>
                <w:rFonts w:hint="eastAsia" w:eastAsia="仿宋_GB2312"/>
                <w:b/>
                <w:bCs/>
                <w:sz w:val="24"/>
                <w:lang w:val="en-US" w:eastAsia="zh-CN"/>
              </w:rPr>
              <w:t>20</w:t>
            </w:r>
            <w:r>
              <w:rPr>
                <w:rFonts w:eastAsia="仿宋_GB2312"/>
                <w:b/>
                <w:bCs/>
                <w:sz w:val="24"/>
              </w:rPr>
              <w:t>年决算数</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hint="eastAsia" w:eastAsia="仿宋_GB2312"/>
                <w:b/>
                <w:bCs/>
                <w:sz w:val="24"/>
                <w:lang w:eastAsia="zh-CN"/>
              </w:rPr>
              <w:t>2021</w:t>
            </w:r>
            <w:r>
              <w:rPr>
                <w:rFonts w:eastAsia="仿宋_GB2312"/>
                <w:b/>
                <w:bCs/>
                <w:sz w:val="24"/>
              </w:rPr>
              <w:t>年预算数</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hint="eastAsia" w:eastAsia="仿宋_GB2312"/>
                <w:b/>
                <w:bCs/>
                <w:sz w:val="24"/>
                <w:lang w:eastAsia="zh-CN"/>
              </w:rPr>
              <w:t>2021</w:t>
            </w:r>
            <w:r>
              <w:rPr>
                <w:rFonts w:eastAsia="仿宋_GB2312"/>
                <w:b/>
                <w:bCs/>
                <w:sz w:val="24"/>
              </w:rPr>
              <w:t>年决算数</w:t>
            </w:r>
          </w:p>
        </w:tc>
      </w:tr>
      <w:tr>
        <w:tblPrEx>
          <w:tblCellMar>
            <w:top w:w="0" w:type="dxa"/>
            <w:left w:w="10" w:type="dxa"/>
            <w:bottom w:w="0" w:type="dxa"/>
            <w:right w:w="10" w:type="dxa"/>
          </w:tblCellMar>
        </w:tblPrEx>
        <w:trPr>
          <w:trHeight w:val="356"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三公经费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4"/>
                <w:lang w:val="en-US" w:eastAsia="zh-CN"/>
              </w:rPr>
              <w:t>11.95</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15</w:t>
            </w: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14.65</w:t>
            </w:r>
            <w:r>
              <w:rPr>
                <w:rFonts w:eastAsia="仿宋_GB2312"/>
                <w:sz w:val="24"/>
              </w:rPr>
              <w:t>　</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1、公务用车购置和维护经费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其中：公车购置</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公车运行维护</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eastAsia="zh-CN"/>
              </w:rPr>
            </w:pPr>
            <w:r>
              <w:rPr>
                <w:rFonts w:hint="eastAsia" w:eastAsia="仿宋_GB2312"/>
                <w:sz w:val="24"/>
                <w:lang w:val="en-US" w:eastAsia="zh-CN"/>
              </w:rPr>
              <w:t>11.95</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eastAsia="zh-CN"/>
              </w:rPr>
            </w:pPr>
            <w:r>
              <w:rPr>
                <w:rFonts w:hint="eastAsia" w:eastAsia="仿宋_GB2312"/>
                <w:sz w:val="24"/>
                <w:lang w:val="en-US" w:eastAsia="zh-CN"/>
              </w:rPr>
              <w:t>15</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4"/>
                <w:lang w:val="en-US" w:eastAsia="zh-CN"/>
              </w:rPr>
              <w:t>14.65</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2、出国经费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3、公务接待</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4"/>
                <w:lang w:val="en-US" w:eastAsia="zh-CN"/>
              </w:rPr>
              <w:t>0</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项目支出：</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1、业务工作专项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2、运行维护专项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4"/>
                <w:lang w:val="en-US" w:eastAsia="zh-CN"/>
              </w:rPr>
              <w:t>2736.42</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0</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2447.83</w:t>
            </w: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公用经费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cs="Times New Roman"/>
                <w:color w:val="auto"/>
                <w:sz w:val="24"/>
                <w:lang w:val="en-US" w:eastAsia="zh-CN"/>
              </w:rPr>
              <w:t>249.44</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cs="Times New Roman"/>
                <w:color w:val="auto"/>
                <w:sz w:val="24"/>
                <w:lang w:val="en-US" w:eastAsia="zh-CN"/>
              </w:rPr>
              <w:t>83.58</w:t>
            </w: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eastAsia="zh-CN"/>
              </w:rPr>
            </w:pPr>
            <w:r>
              <w:rPr>
                <w:rFonts w:hint="eastAsia" w:eastAsia="仿宋_GB2312"/>
                <w:sz w:val="24"/>
                <w:lang w:val="en-US" w:eastAsia="zh-CN"/>
              </w:rPr>
              <w:t>233.09</w:t>
            </w:r>
          </w:p>
        </w:tc>
      </w:tr>
      <w:tr>
        <w:tblPrEx>
          <w:tblCellMar>
            <w:top w:w="0" w:type="dxa"/>
            <w:left w:w="10" w:type="dxa"/>
            <w:bottom w:w="0" w:type="dxa"/>
            <w:right w:w="10" w:type="dxa"/>
          </w:tblCellMar>
        </w:tblPrEx>
        <w:trPr>
          <w:trHeight w:val="39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其中：办公经费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rPr>
            </w:pPr>
            <w:r>
              <w:rPr>
                <w:rFonts w:hint="eastAsia" w:eastAsia="仿宋_GB2312"/>
                <w:color w:val="auto"/>
                <w:sz w:val="24"/>
                <w:lang w:val="en-US" w:eastAsia="zh-CN"/>
              </w:rPr>
              <w:t>14.36</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rPr>
            </w:pPr>
            <w:r>
              <w:rPr>
                <w:rFonts w:hint="eastAsia" w:eastAsia="仿宋_GB2312"/>
                <w:color w:val="auto"/>
                <w:sz w:val="24"/>
                <w:lang w:val="en-US" w:eastAsia="zh-CN"/>
              </w:rPr>
              <w:t>14.61</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rPr>
            </w:pPr>
            <w:r>
              <w:rPr>
                <w:rFonts w:hint="eastAsia" w:eastAsia="仿宋_GB2312"/>
                <w:color w:val="auto"/>
                <w:sz w:val="24"/>
                <w:lang w:val="en-US" w:eastAsia="zh-CN"/>
              </w:rPr>
              <w:t>12.64</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水费、电费、差旅费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rPr>
            </w:pPr>
            <w:r>
              <w:rPr>
                <w:rFonts w:hint="eastAsia" w:eastAsia="仿宋_GB2312"/>
                <w:color w:val="auto"/>
                <w:sz w:val="24"/>
                <w:lang w:val="en-US" w:eastAsia="zh-CN"/>
              </w:rPr>
              <w:t>5.08</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color w:val="auto"/>
                <w:sz w:val="24"/>
              </w:rPr>
            </w:pPr>
            <w:r>
              <w:rPr>
                <w:rFonts w:hint="eastAsia" w:eastAsia="仿宋_GB2312"/>
                <w:color w:val="auto"/>
                <w:sz w:val="24"/>
                <w:lang w:val="en-US" w:eastAsia="zh-CN"/>
              </w:rPr>
              <w:t>4.65</w:t>
            </w:r>
            <w:r>
              <w:rPr>
                <w:rFonts w:eastAsia="仿宋_GB2312"/>
                <w:color w:val="auto"/>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eastAsia="zh-CN"/>
              </w:rPr>
            </w:pPr>
            <w:r>
              <w:rPr>
                <w:rFonts w:hint="eastAsia" w:eastAsia="仿宋_GB2312"/>
                <w:color w:val="auto"/>
                <w:sz w:val="24"/>
                <w:lang w:val="en-US" w:eastAsia="zh-CN"/>
              </w:rPr>
              <w:t>4.45</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          会议费、培训费</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color w:val="auto"/>
                <w:sz w:val="24"/>
                <w:lang w:val="en-US"/>
              </w:rPr>
            </w:pPr>
            <w:r>
              <w:rPr>
                <w:rFonts w:hint="eastAsia" w:eastAsia="仿宋_GB2312"/>
                <w:color w:val="auto"/>
                <w:sz w:val="24"/>
                <w:lang w:val="en-US" w:eastAsia="zh-CN"/>
              </w:rPr>
              <w:t>0</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color w:val="auto"/>
                <w:sz w:val="24"/>
              </w:rPr>
            </w:pPr>
            <w:r>
              <w:rPr>
                <w:rFonts w:hint="eastAsia" w:eastAsia="仿宋_GB2312"/>
                <w:color w:val="auto"/>
                <w:sz w:val="24"/>
                <w:lang w:val="en-US" w:eastAsia="zh-CN"/>
              </w:rPr>
              <w:t>0</w:t>
            </w:r>
            <w:r>
              <w:rPr>
                <w:rFonts w:eastAsia="仿宋_GB2312"/>
                <w:color w:val="auto"/>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color w:val="auto"/>
                <w:sz w:val="24"/>
              </w:rPr>
            </w:pPr>
            <w:r>
              <w:rPr>
                <w:rFonts w:hint="eastAsia" w:eastAsia="仿宋_GB2312"/>
                <w:color w:val="auto"/>
                <w:sz w:val="24"/>
                <w:lang w:val="en-US" w:eastAsia="zh-CN"/>
              </w:rPr>
              <w:t>3.31</w:t>
            </w:r>
            <w:r>
              <w:rPr>
                <w:rFonts w:eastAsia="仿宋_GB2312"/>
                <w:color w:val="auto"/>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政府采购金额</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color w:val="auto"/>
                <w:sz w:val="24"/>
              </w:rPr>
            </w:pPr>
            <w:r>
              <w:rPr>
                <w:rFonts w:eastAsia="仿宋_GB2312"/>
                <w:color w:val="auto"/>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color w:val="auto"/>
                <w:sz w:val="24"/>
              </w:rPr>
            </w:pPr>
            <w:r>
              <w:rPr>
                <w:rFonts w:eastAsia="仿宋_GB2312"/>
                <w:color w:val="auto"/>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color w:val="auto"/>
                <w:sz w:val="24"/>
              </w:rPr>
            </w:pPr>
            <w:r>
              <w:rPr>
                <w:rFonts w:hint="eastAsia" w:eastAsia="仿宋_GB2312"/>
                <w:color w:val="auto"/>
                <w:sz w:val="24"/>
                <w:lang w:val="en-US" w:eastAsia="zh-CN"/>
              </w:rPr>
              <w:t>1564.61</w:t>
            </w:r>
            <w:r>
              <w:rPr>
                <w:rFonts w:eastAsia="仿宋_GB2312"/>
                <w:color w:val="auto"/>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xml:space="preserve">部门整体支出预算调整 </w:t>
            </w:r>
          </w:p>
        </w:tc>
        <w:tc>
          <w:tcPr>
            <w:tcW w:w="2360"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w:t>
            </w:r>
          </w:p>
        </w:tc>
        <w:tc>
          <w:tcPr>
            <w:tcW w:w="2595"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hint="eastAsia" w:eastAsia="仿宋_GB2312"/>
                <w:sz w:val="24"/>
                <w:lang w:val="en-US" w:eastAsia="zh-CN"/>
              </w:rPr>
              <w:t>941.9</w:t>
            </w:r>
            <w:r>
              <w:rPr>
                <w:rFonts w:eastAsia="仿宋_GB2312"/>
                <w:sz w:val="24"/>
              </w:rPr>
              <w:t>　</w:t>
            </w:r>
          </w:p>
        </w:tc>
        <w:tc>
          <w:tcPr>
            <w:tcW w:w="1834" w:type="dxa"/>
            <w:gridSpan w:val="2"/>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hint="default" w:eastAsia="仿宋_GB2312"/>
                <w:sz w:val="24"/>
                <w:lang w:val="en-US"/>
              </w:rPr>
            </w:pPr>
            <w:r>
              <w:rPr>
                <w:rFonts w:hint="eastAsia" w:eastAsia="仿宋_GB2312"/>
                <w:sz w:val="24"/>
                <w:lang w:val="en-US" w:eastAsia="zh-CN"/>
              </w:rPr>
              <w:t>3806.85</w:t>
            </w:r>
          </w:p>
        </w:tc>
      </w:tr>
      <w:tr>
        <w:tblPrEx>
          <w:tblCellMar>
            <w:top w:w="0" w:type="dxa"/>
            <w:left w:w="10" w:type="dxa"/>
            <w:bottom w:w="0" w:type="dxa"/>
            <w:right w:w="10" w:type="dxa"/>
          </w:tblCellMar>
        </w:tblPrEx>
        <w:trPr>
          <w:trHeight w:val="1154" w:hRule="atLeast"/>
          <w:jc w:val="center"/>
        </w:trPr>
        <w:tc>
          <w:tcPr>
            <w:tcW w:w="3550" w:type="dxa"/>
            <w:vMerge w:val="restart"/>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楼堂馆所控制情况</w:t>
            </w:r>
            <w:r>
              <w:rPr>
                <w:rFonts w:eastAsia="仿宋_GB2312"/>
                <w:sz w:val="24"/>
              </w:rPr>
              <w:br w:type="textWrapping"/>
            </w:r>
            <w:r>
              <w:rPr>
                <w:rFonts w:eastAsia="仿宋_GB2312"/>
                <w:sz w:val="24"/>
              </w:rPr>
              <w:t>（</w:t>
            </w:r>
            <w:r>
              <w:rPr>
                <w:rFonts w:hint="eastAsia" w:eastAsia="仿宋_GB2312"/>
                <w:sz w:val="24"/>
                <w:lang w:eastAsia="zh-CN"/>
              </w:rPr>
              <w:t>2021</w:t>
            </w:r>
            <w:r>
              <w:rPr>
                <w:rFonts w:eastAsia="仿宋_GB2312"/>
                <w:sz w:val="24"/>
              </w:rPr>
              <w:t>年完工项目）</w:t>
            </w: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批复规模</w:t>
            </w:r>
            <w:r>
              <w:rPr>
                <w:rFonts w:eastAsia="仿宋_GB2312"/>
                <w:b/>
                <w:bCs/>
                <w:sz w:val="24"/>
              </w:rPr>
              <w:br w:type="textWrapping"/>
            </w:r>
            <w:r>
              <w:rPr>
                <w:rFonts w:eastAsia="仿宋_GB2312"/>
                <w:b/>
                <w:bCs/>
                <w:sz w:val="24"/>
              </w:rPr>
              <w:t>（</w:t>
            </w:r>
            <w:r>
              <w:rPr>
                <w:b/>
                <w:bCs/>
                <w:sz w:val="24"/>
              </w:rPr>
              <w:t>㎡</w:t>
            </w:r>
            <w:r>
              <w:rPr>
                <w:rFonts w:eastAsia="仿宋_GB2312"/>
                <w:b/>
                <w:bCs/>
                <w:sz w:val="24"/>
              </w:rPr>
              <w:t>）</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实际规模（</w:t>
            </w:r>
            <w:r>
              <w:rPr>
                <w:b/>
                <w:bCs/>
                <w:sz w:val="24"/>
              </w:rPr>
              <w:t>㎡</w:t>
            </w:r>
            <w:r>
              <w:rPr>
                <w:rFonts w:eastAsia="仿宋_GB2312"/>
                <w:b/>
                <w:bCs/>
                <w:sz w:val="24"/>
              </w:rPr>
              <w:t>）</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规模控制率</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预算投资（万元）</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实际投资（万元）</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b/>
                <w:bCs/>
                <w:sz w:val="24"/>
              </w:rPr>
            </w:pPr>
            <w:r>
              <w:rPr>
                <w:rFonts w:eastAsia="仿宋_GB2312"/>
                <w:b/>
                <w:bCs/>
                <w:sz w:val="24"/>
              </w:rPr>
              <w:t>投资概算控制率</w:t>
            </w:r>
          </w:p>
        </w:tc>
      </w:tr>
      <w:tr>
        <w:tblPrEx>
          <w:tblCellMar>
            <w:top w:w="0" w:type="dxa"/>
            <w:left w:w="10" w:type="dxa"/>
            <w:bottom w:w="0" w:type="dxa"/>
            <w:right w:w="10" w:type="dxa"/>
          </w:tblCellMar>
        </w:tblPrEx>
        <w:trPr>
          <w:trHeight w:val="177" w:hRule="atLeast"/>
          <w:jc w:val="center"/>
        </w:trPr>
        <w:tc>
          <w:tcPr>
            <w:tcW w:w="3550" w:type="dxa"/>
            <w:vMerge w:val="continue"/>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tc>
        <w:tc>
          <w:tcPr>
            <w:tcW w:w="119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c>
          <w:tcPr>
            <w:tcW w:w="11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w:t>
            </w:r>
          </w:p>
        </w:tc>
        <w:tc>
          <w:tcPr>
            <w:tcW w:w="113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w:t>
            </w:r>
          </w:p>
        </w:tc>
        <w:tc>
          <w:tcPr>
            <w:tcW w:w="1465"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w:t>
            </w:r>
          </w:p>
        </w:tc>
        <w:tc>
          <w:tcPr>
            <w:tcW w:w="970"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w:t>
            </w:r>
          </w:p>
        </w:tc>
        <w:tc>
          <w:tcPr>
            <w:tcW w:w="864" w:type="dxa"/>
            <w:tcBorders>
              <w:top w:val="nil"/>
              <w:left w:val="nil"/>
              <w:bottom w:val="single" w:color="000000" w:sz="4" w:space="0"/>
              <w:right w:val="single" w:color="000000" w:sz="4" w:space="0"/>
            </w:tcBorders>
            <w:tcMar>
              <w:top w:w="0" w:type="dxa"/>
              <w:left w:w="108" w:type="dxa"/>
              <w:bottom w:w="0" w:type="dxa"/>
              <w:right w:w="108" w:type="dxa"/>
            </w:tcMar>
            <w:vAlign w:val="center"/>
          </w:tcPr>
          <w:p>
            <w:pPr>
              <w:widowControl/>
              <w:jc w:val="left"/>
              <w:rPr>
                <w:rFonts w:eastAsia="仿宋_GB2312"/>
                <w:sz w:val="24"/>
              </w:rPr>
            </w:pPr>
            <w:r>
              <w:rPr>
                <w:rFonts w:eastAsia="仿宋_GB2312"/>
                <w:sz w:val="24"/>
              </w:rPr>
              <w:t>　</w:t>
            </w:r>
          </w:p>
        </w:tc>
      </w:tr>
      <w:tr>
        <w:tblPrEx>
          <w:tblCellMar>
            <w:top w:w="0" w:type="dxa"/>
            <w:left w:w="10" w:type="dxa"/>
            <w:bottom w:w="0" w:type="dxa"/>
            <w:right w:w="10" w:type="dxa"/>
          </w:tblCellMar>
        </w:tblPrEx>
        <w:trPr>
          <w:trHeight w:val="371" w:hRule="atLeast"/>
          <w:jc w:val="center"/>
        </w:trPr>
        <w:tc>
          <w:tcPr>
            <w:tcW w:w="355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厉行节约保障措施</w:t>
            </w:r>
          </w:p>
        </w:tc>
        <w:tc>
          <w:tcPr>
            <w:tcW w:w="6789" w:type="dxa"/>
            <w:gridSpan w:val="6"/>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widowControl/>
              <w:jc w:val="center"/>
              <w:rPr>
                <w:rFonts w:eastAsia="仿宋_GB2312"/>
                <w:sz w:val="24"/>
              </w:rPr>
            </w:pPr>
            <w:r>
              <w:rPr>
                <w:rFonts w:eastAsia="仿宋_GB2312"/>
                <w:sz w:val="24"/>
              </w:rPr>
              <w:t>　</w:t>
            </w:r>
          </w:p>
        </w:tc>
      </w:tr>
    </w:tbl>
    <w:p>
      <w:pPr>
        <w:widowControl/>
        <w:jc w:val="left"/>
        <w:rPr>
          <w:rFonts w:eastAsia="仿宋_GB2312"/>
          <w:sz w:val="22"/>
          <w:szCs w:val="22"/>
        </w:rPr>
      </w:pPr>
      <w:r>
        <w:rPr>
          <w:rFonts w:eastAsia="仿宋_GB2312"/>
          <w:sz w:val="22"/>
          <w:szCs w:val="22"/>
        </w:rPr>
        <w:t>说明：“项目支出”需要填报除专项资金和基本支出以外的所有项目情况，包括业务工作项</w:t>
      </w:r>
    </w:p>
    <w:p>
      <w:pPr>
        <w:widowControl/>
        <w:ind w:firstLine="660"/>
        <w:jc w:val="left"/>
        <w:rPr>
          <w:rFonts w:eastAsia="仿宋_GB2312"/>
          <w:sz w:val="22"/>
          <w:szCs w:val="22"/>
        </w:rPr>
      </w:pPr>
      <w:r>
        <w:rPr>
          <w:rFonts w:eastAsia="仿宋_GB2312"/>
          <w:sz w:val="22"/>
          <w:szCs w:val="22"/>
        </w:rPr>
        <w:t>目、运行维护项目等；“公用经费”填报基本支出中的一般商品和服务支出。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30"/>
          <w:szCs w:val="30"/>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10600030101010101"/>
    <w:charset w:val="86"/>
    <w:family w:val="script"/>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2499C"/>
    <w:multiLevelType w:val="singleLevel"/>
    <w:tmpl w:val="85A2499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RhZWIzOGE5MDdmYWMzNDM1Njc5N2IwZDYzZjBmZTcifQ=="/>
  </w:docVars>
  <w:rsids>
    <w:rsidRoot w:val="00292F0A"/>
    <w:rsid w:val="000C48FD"/>
    <w:rsid w:val="001C1677"/>
    <w:rsid w:val="001E5961"/>
    <w:rsid w:val="00246D33"/>
    <w:rsid w:val="00292F0A"/>
    <w:rsid w:val="0031698E"/>
    <w:rsid w:val="003E63C1"/>
    <w:rsid w:val="003E71ED"/>
    <w:rsid w:val="00436B0B"/>
    <w:rsid w:val="004542A6"/>
    <w:rsid w:val="004A7D69"/>
    <w:rsid w:val="004E3560"/>
    <w:rsid w:val="00592B65"/>
    <w:rsid w:val="00595FA1"/>
    <w:rsid w:val="005E07F5"/>
    <w:rsid w:val="005E7212"/>
    <w:rsid w:val="00600695"/>
    <w:rsid w:val="006161C7"/>
    <w:rsid w:val="00651726"/>
    <w:rsid w:val="00767284"/>
    <w:rsid w:val="00796717"/>
    <w:rsid w:val="00825471"/>
    <w:rsid w:val="008A7838"/>
    <w:rsid w:val="008B1EA5"/>
    <w:rsid w:val="008B6FAE"/>
    <w:rsid w:val="00927BEA"/>
    <w:rsid w:val="00993ECC"/>
    <w:rsid w:val="00AE0DBE"/>
    <w:rsid w:val="00B74EED"/>
    <w:rsid w:val="00BA053A"/>
    <w:rsid w:val="00BF2E24"/>
    <w:rsid w:val="00D25464"/>
    <w:rsid w:val="00D502CB"/>
    <w:rsid w:val="00DC5AFA"/>
    <w:rsid w:val="00E2331D"/>
    <w:rsid w:val="00EB038F"/>
    <w:rsid w:val="010E3554"/>
    <w:rsid w:val="04B4230A"/>
    <w:rsid w:val="06F36679"/>
    <w:rsid w:val="087309D8"/>
    <w:rsid w:val="08B237B7"/>
    <w:rsid w:val="094D7429"/>
    <w:rsid w:val="0B9D4DFA"/>
    <w:rsid w:val="0BC35B2F"/>
    <w:rsid w:val="0D8657A2"/>
    <w:rsid w:val="10C45CE5"/>
    <w:rsid w:val="11186A48"/>
    <w:rsid w:val="12933A4D"/>
    <w:rsid w:val="18514B1A"/>
    <w:rsid w:val="1A96202B"/>
    <w:rsid w:val="1B6C481B"/>
    <w:rsid w:val="1CE8695D"/>
    <w:rsid w:val="1F7D1D38"/>
    <w:rsid w:val="20976DB4"/>
    <w:rsid w:val="24FF2EE7"/>
    <w:rsid w:val="2574079E"/>
    <w:rsid w:val="258B29B9"/>
    <w:rsid w:val="2B2E6591"/>
    <w:rsid w:val="2C4068A1"/>
    <w:rsid w:val="2E3E1FF1"/>
    <w:rsid w:val="2E5A375D"/>
    <w:rsid w:val="32AC5268"/>
    <w:rsid w:val="36CF2F88"/>
    <w:rsid w:val="36D52446"/>
    <w:rsid w:val="389603A6"/>
    <w:rsid w:val="3A0B4B12"/>
    <w:rsid w:val="3B1B1625"/>
    <w:rsid w:val="3C485B6D"/>
    <w:rsid w:val="3D0F2D26"/>
    <w:rsid w:val="407D17CB"/>
    <w:rsid w:val="440F7133"/>
    <w:rsid w:val="45B2220C"/>
    <w:rsid w:val="45C64680"/>
    <w:rsid w:val="47642A1C"/>
    <w:rsid w:val="4B46040D"/>
    <w:rsid w:val="4D570023"/>
    <w:rsid w:val="4E7D59E9"/>
    <w:rsid w:val="5C8C5F82"/>
    <w:rsid w:val="5D352294"/>
    <w:rsid w:val="65187531"/>
    <w:rsid w:val="655711CF"/>
    <w:rsid w:val="66A2493F"/>
    <w:rsid w:val="66E22108"/>
    <w:rsid w:val="6A510717"/>
    <w:rsid w:val="6C555710"/>
    <w:rsid w:val="74893E0D"/>
    <w:rsid w:val="784F05B0"/>
    <w:rsid w:val="7F320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3792</Words>
  <Characters>4175</Characters>
  <Lines>14</Lines>
  <Paragraphs>4</Paragraphs>
  <TotalTime>2</TotalTime>
  <ScaleCrop>false</ScaleCrop>
  <LinksUpToDate>false</LinksUpToDate>
  <CharactersWithSpaces>4633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2017-09-17T04:00:00Z</dcterms:created>
  <dc:creator>Administrator</dc:creator>
  <cp:lastModifiedBy>辉</cp:lastModifiedBy>
  <dcterms:modified xsi:type="dcterms:W3CDTF">2022-06-07T02:22:47Z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4B87BB7CB882465E991F4EF87EE4C31C</vt:lpwstr>
  </property>
</Properties>
</file>