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仿宋" w:eastAsia="黑体" w:cs="仿宋"/>
          <w:b/>
          <w:bCs/>
          <w:sz w:val="44"/>
          <w:szCs w:val="44"/>
          <w:lang w:val="en-US" w:eastAsia="zh-CN"/>
        </w:rPr>
      </w:pPr>
      <w:r>
        <w:rPr>
          <w:rFonts w:hint="eastAsia" w:ascii="黑体" w:hAnsi="仿宋" w:eastAsia="黑体" w:cs="仿宋"/>
          <w:b/>
          <w:bCs/>
          <w:sz w:val="44"/>
          <w:szCs w:val="44"/>
        </w:rPr>
        <w:t>2021年度麻阳苗族自治县</w:t>
      </w:r>
      <w:r>
        <w:rPr>
          <w:rFonts w:hint="eastAsia" w:ascii="黑体" w:hAnsi="仿宋" w:eastAsia="黑体" w:cs="仿宋"/>
          <w:b/>
          <w:bCs/>
          <w:sz w:val="44"/>
          <w:szCs w:val="44"/>
          <w:lang w:eastAsia="zh-CN"/>
        </w:rPr>
        <w:t>老干部服务中心</w:t>
      </w:r>
    </w:p>
    <w:p>
      <w:pPr>
        <w:spacing w:line="360" w:lineRule="auto"/>
        <w:jc w:val="center"/>
        <w:rPr>
          <w:rFonts w:ascii="黑体" w:hAnsi="仿宋" w:eastAsia="黑体" w:cs="仿宋"/>
          <w:b/>
          <w:bCs/>
          <w:sz w:val="44"/>
          <w:szCs w:val="44"/>
        </w:rPr>
      </w:pPr>
      <w:r>
        <w:rPr>
          <w:rFonts w:hint="eastAsia" w:ascii="黑体" w:hAnsi="仿宋" w:eastAsia="黑体" w:cs="仿宋"/>
          <w:b/>
          <w:bCs/>
          <w:sz w:val="44"/>
          <w:szCs w:val="44"/>
        </w:rPr>
        <w:t>整体支出绩效报告</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ind w:firstLine="600" w:firstLineChars="200"/>
        <w:rPr>
          <w:rFonts w:ascii="宋体" w:hAnsi="宋体" w:cs="仿宋"/>
          <w:sz w:val="30"/>
          <w:szCs w:val="30"/>
        </w:rPr>
      </w:pPr>
      <w:r>
        <w:rPr>
          <w:rFonts w:hint="eastAsia" w:ascii="宋体" w:hAnsi="宋体" w:cs="仿宋"/>
          <w:sz w:val="30"/>
          <w:szCs w:val="30"/>
        </w:rPr>
        <w:t>根据麻阳苗族自治县财政局印发的《关于做好</w:t>
      </w:r>
      <w:r>
        <w:rPr>
          <w:rFonts w:ascii="宋体" w:hAnsi="宋体" w:cs="仿宋"/>
          <w:sz w:val="30"/>
          <w:szCs w:val="30"/>
        </w:rPr>
        <w:t>20</w:t>
      </w:r>
      <w:r>
        <w:rPr>
          <w:rFonts w:hint="eastAsia" w:ascii="宋体" w:hAnsi="宋体" w:cs="仿宋"/>
          <w:sz w:val="30"/>
          <w:szCs w:val="30"/>
        </w:rPr>
        <w:t>21年度县级财政资金绩效自评工作的通知》</w:t>
      </w:r>
      <w:r>
        <w:rPr>
          <w:rFonts w:ascii="宋体" w:hAnsi="宋体" w:cs="仿宋"/>
          <w:sz w:val="30"/>
          <w:szCs w:val="30"/>
        </w:rPr>
        <w:t>(</w:t>
      </w:r>
      <w:r>
        <w:rPr>
          <w:rFonts w:hint="eastAsia" w:ascii="宋体" w:hAnsi="宋体" w:cs="仿宋"/>
          <w:sz w:val="30"/>
          <w:szCs w:val="30"/>
        </w:rPr>
        <w:t>麻财绩〔</w:t>
      </w:r>
      <w:r>
        <w:rPr>
          <w:rFonts w:ascii="宋体" w:hAnsi="宋体" w:cs="仿宋"/>
          <w:sz w:val="30"/>
          <w:szCs w:val="30"/>
        </w:rPr>
        <w:t>20</w:t>
      </w:r>
      <w:r>
        <w:rPr>
          <w:rFonts w:hint="eastAsia" w:ascii="宋体" w:hAnsi="宋体" w:cs="仿宋"/>
          <w:sz w:val="30"/>
          <w:szCs w:val="30"/>
        </w:rPr>
        <w:t>22〕</w:t>
      </w:r>
      <w:r>
        <w:rPr>
          <w:rFonts w:ascii="宋体" w:hAnsi="宋体" w:cs="仿宋"/>
          <w:sz w:val="30"/>
          <w:szCs w:val="30"/>
        </w:rPr>
        <w:t>1</w:t>
      </w:r>
      <w:r>
        <w:rPr>
          <w:rFonts w:hint="eastAsia" w:ascii="宋体" w:hAnsi="宋体" w:cs="仿宋"/>
          <w:sz w:val="30"/>
          <w:szCs w:val="30"/>
        </w:rPr>
        <w:t>号</w:t>
      </w:r>
      <w:r>
        <w:rPr>
          <w:rFonts w:ascii="宋体" w:hAnsi="宋体" w:cs="仿宋"/>
          <w:sz w:val="30"/>
          <w:szCs w:val="30"/>
        </w:rPr>
        <w:t>)</w:t>
      </w:r>
      <w:r>
        <w:rPr>
          <w:rFonts w:hint="eastAsia" w:ascii="宋体" w:hAnsi="宋体" w:cs="仿宋"/>
          <w:sz w:val="30"/>
          <w:szCs w:val="30"/>
        </w:rPr>
        <w:t>文件的相关要求，我单位对</w:t>
      </w:r>
      <w:r>
        <w:rPr>
          <w:rFonts w:ascii="宋体" w:hAnsi="宋体" w:cs="仿宋"/>
          <w:sz w:val="30"/>
          <w:szCs w:val="30"/>
        </w:rPr>
        <w:t>20</w:t>
      </w:r>
      <w:r>
        <w:rPr>
          <w:rFonts w:hint="eastAsia" w:ascii="宋体" w:hAnsi="宋体" w:cs="仿宋"/>
          <w:sz w:val="30"/>
          <w:szCs w:val="30"/>
        </w:rPr>
        <w:t>21年度部门整体支出绩效进行了全面综合评价。现将整体支出绩效情况报告如下。</w:t>
      </w:r>
    </w:p>
    <w:p>
      <w:pPr>
        <w:numPr>
          <w:ilvl w:val="0"/>
          <w:numId w:val="1"/>
        </w:numPr>
        <w:ind w:left="0" w:firstLine="600" w:firstLineChars="200"/>
        <w:rPr>
          <w:rFonts w:ascii="黑体" w:hAnsi="宋体" w:eastAsia="黑体"/>
          <w:sz w:val="30"/>
          <w:szCs w:val="30"/>
        </w:rPr>
      </w:pPr>
      <w:r>
        <w:rPr>
          <w:rFonts w:hint="eastAsia" w:ascii="黑体" w:hAnsi="宋体" w:eastAsia="黑体"/>
          <w:sz w:val="30"/>
          <w:szCs w:val="30"/>
        </w:rPr>
        <w:t>机构编制人员情况</w:t>
      </w:r>
      <w:bookmarkStart w:id="0" w:name="_GoBack"/>
      <w:bookmarkEnd w:id="0"/>
    </w:p>
    <w:p>
      <w:pPr>
        <w:ind w:firstLine="600" w:firstLineChars="200"/>
        <w:rPr>
          <w:rFonts w:hint="eastAsia" w:ascii="宋体" w:hAnsi="宋体" w:eastAsia="宋体" w:cs="宋体"/>
          <w:i w:val="0"/>
          <w:iCs w:val="0"/>
          <w:caps w:val="0"/>
          <w:color w:val="auto"/>
          <w:spacing w:val="0"/>
          <w:sz w:val="30"/>
          <w:szCs w:val="30"/>
          <w:shd w:val="clear" w:color="auto" w:fill="FFFFFF"/>
        </w:rPr>
      </w:pPr>
      <w:r>
        <w:rPr>
          <w:rFonts w:hint="eastAsia" w:ascii="宋体" w:hAnsi="宋体" w:eastAsia="宋体" w:cs="宋体"/>
          <w:i w:val="0"/>
          <w:iCs w:val="0"/>
          <w:caps w:val="0"/>
          <w:color w:val="auto"/>
          <w:spacing w:val="0"/>
          <w:sz w:val="30"/>
          <w:szCs w:val="30"/>
          <w:shd w:val="clear" w:color="auto" w:fill="FFFFFF"/>
        </w:rPr>
        <w:t>老干部服务中心为全额拨款参照公务员管理事业单位。内设办公室1个，股室2个，共计3个职能股室，下设1个二级单位（城南医院，差额拨款）。</w:t>
      </w:r>
    </w:p>
    <w:p>
      <w:pPr>
        <w:ind w:firstLine="600" w:firstLineChars="200"/>
        <w:rPr>
          <w:rFonts w:ascii="黑体" w:hAnsi="宋体" w:eastAsia="黑体"/>
          <w:sz w:val="30"/>
          <w:szCs w:val="30"/>
        </w:rPr>
      </w:pPr>
      <w:r>
        <w:rPr>
          <w:rFonts w:hint="eastAsia" w:ascii="黑体" w:hAnsi="宋体" w:eastAsia="黑体"/>
          <w:sz w:val="30"/>
          <w:szCs w:val="30"/>
        </w:rPr>
        <w:t>二、单位主要职能与年度绩效目标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600"/>
        <w:jc w:val="both"/>
        <w:rPr>
          <w:rFonts w:ascii="微软雅黑" w:hAnsi="微软雅黑" w:eastAsia="微软雅黑" w:cs="微软雅黑"/>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bdr w:val="none" w:color="auto" w:sz="0" w:space="0"/>
          <w:shd w:val="clear" w:fill="FFFFFF"/>
          <w:lang w:val="en-US" w:eastAsia="zh-CN" w:bidi="ar"/>
        </w:rPr>
        <w:t>1、负责全县离休干部“两项待遇”的落实；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600"/>
        <w:jc w:val="both"/>
        <w:rPr>
          <w:rFonts w:hint="eastAsia" w:ascii="微软雅黑" w:hAnsi="微软雅黑" w:eastAsia="微软雅黑" w:cs="微软雅黑"/>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bdr w:val="none" w:color="auto" w:sz="0" w:space="0"/>
          <w:shd w:val="clear" w:fill="FFFFFF"/>
          <w:lang w:val="en-US" w:eastAsia="zh-CN" w:bidi="ar"/>
        </w:rPr>
        <w:t>2、负责全县副处级以上退休干部政治待遇的落实；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600"/>
        <w:jc w:val="both"/>
        <w:rPr>
          <w:rFonts w:hint="eastAsia" w:ascii="微软雅黑" w:hAnsi="微软雅黑" w:eastAsia="微软雅黑" w:cs="微软雅黑"/>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bdr w:val="none" w:color="auto" w:sz="0" w:space="0"/>
          <w:shd w:val="clear" w:fill="FFFFFF"/>
          <w:lang w:val="en-US" w:eastAsia="zh-CN" w:bidi="ar"/>
        </w:rPr>
        <w:t>3、联系5个“老字号”组织的工作；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600"/>
        <w:jc w:val="both"/>
        <w:rPr>
          <w:rFonts w:hint="eastAsia" w:ascii="微软雅黑" w:hAnsi="微软雅黑" w:eastAsia="微软雅黑" w:cs="微软雅黑"/>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bdr w:val="none" w:color="auto" w:sz="0" w:space="0"/>
          <w:shd w:val="clear" w:fill="FFFFFF"/>
          <w:lang w:val="en-US" w:eastAsia="zh-CN" w:bidi="ar"/>
        </w:rPr>
        <w:t>4、负责全县老年教育工作；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600"/>
        <w:jc w:val="both"/>
        <w:rPr>
          <w:rFonts w:hint="eastAsia" w:ascii="微软雅黑" w:hAnsi="微软雅黑" w:eastAsia="微软雅黑" w:cs="微软雅黑"/>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bdr w:val="none" w:color="auto" w:sz="0" w:space="0"/>
          <w:shd w:val="clear" w:fill="FFFFFF"/>
          <w:lang w:val="en-US" w:eastAsia="zh-CN" w:bidi="ar"/>
        </w:rPr>
        <w:t>5、负责全县离退休党工委工作。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600"/>
        <w:jc w:val="both"/>
        <w:rPr>
          <w:rFonts w:hint="eastAsia" w:ascii="微软雅黑" w:hAnsi="微软雅黑" w:eastAsia="微软雅黑" w:cs="微软雅黑"/>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bdr w:val="none" w:color="auto" w:sz="0" w:space="0"/>
          <w:shd w:val="clear" w:fill="FFFFFF"/>
          <w:lang w:val="en-US" w:eastAsia="zh-CN" w:bidi="ar"/>
        </w:rPr>
        <w:t>10、承办上级部门交办的其他工作。</w:t>
      </w:r>
    </w:p>
    <w:p>
      <w:pPr>
        <w:ind w:firstLine="600" w:firstLineChars="200"/>
        <w:rPr>
          <w:rFonts w:ascii="宋体" w:hAnsi="宋体"/>
          <w:sz w:val="30"/>
          <w:szCs w:val="30"/>
        </w:rPr>
      </w:pPr>
    </w:p>
    <w:p>
      <w:pPr>
        <w:ind w:firstLine="600" w:firstLineChars="200"/>
        <w:rPr>
          <w:rFonts w:ascii="黑体" w:hAnsi="宋体" w:eastAsia="黑体"/>
          <w:sz w:val="30"/>
          <w:szCs w:val="30"/>
        </w:rPr>
      </w:pPr>
      <w:r>
        <w:rPr>
          <w:rFonts w:hint="eastAsia" w:ascii="黑体" w:hAnsi="宋体" w:eastAsia="黑体"/>
          <w:sz w:val="30"/>
          <w:szCs w:val="30"/>
        </w:rPr>
        <w:t>三、2021年度整体支出及管理情况</w:t>
      </w:r>
    </w:p>
    <w:p>
      <w:pPr>
        <w:ind w:firstLine="600" w:firstLineChars="200"/>
        <w:rPr>
          <w:rFonts w:ascii="宋体" w:hAnsi="宋体"/>
          <w:sz w:val="30"/>
          <w:szCs w:val="30"/>
        </w:rPr>
      </w:pPr>
      <w:r>
        <w:rPr>
          <w:rFonts w:hint="eastAsia" w:ascii="宋体" w:hAnsi="宋体"/>
          <w:sz w:val="30"/>
          <w:szCs w:val="30"/>
        </w:rPr>
        <w:t>2021年预算总收入</w:t>
      </w:r>
      <w:r>
        <w:rPr>
          <w:rFonts w:hint="eastAsia" w:ascii="微软雅黑" w:hAnsi="微软雅黑" w:eastAsia="微软雅黑" w:cs="微软雅黑"/>
          <w:i w:val="0"/>
          <w:iCs w:val="0"/>
          <w:caps w:val="0"/>
          <w:color w:val="333333"/>
          <w:spacing w:val="0"/>
          <w:sz w:val="24"/>
          <w:szCs w:val="24"/>
          <w:shd w:val="clear" w:color="auto" w:fill="FFFFFF"/>
        </w:rPr>
        <w:t>252.3</w:t>
      </w:r>
      <w:r>
        <w:rPr>
          <w:rFonts w:hint="eastAsia" w:ascii="宋体" w:hAnsi="宋体"/>
          <w:sz w:val="30"/>
          <w:szCs w:val="30"/>
        </w:rPr>
        <w:t>万元，</w:t>
      </w:r>
      <w:r>
        <w:rPr>
          <w:rFonts w:hint="eastAsia" w:ascii="宋体" w:hAnsi="宋体"/>
          <w:sz w:val="30"/>
          <w:szCs w:val="30"/>
          <w:lang w:eastAsia="zh-CN"/>
        </w:rPr>
        <w:t>其中</w:t>
      </w:r>
      <w:r>
        <w:rPr>
          <w:rFonts w:hint="eastAsia" w:ascii="宋体" w:hAnsi="宋体"/>
          <w:sz w:val="30"/>
          <w:szCs w:val="30"/>
        </w:rPr>
        <w:t>年初预算安排</w:t>
      </w:r>
      <w:r>
        <w:rPr>
          <w:rFonts w:hint="eastAsia" w:ascii="微软雅黑" w:hAnsi="微软雅黑" w:eastAsia="微软雅黑" w:cs="微软雅黑"/>
          <w:i w:val="0"/>
          <w:iCs w:val="0"/>
          <w:caps w:val="0"/>
          <w:color w:val="333333"/>
          <w:spacing w:val="0"/>
          <w:sz w:val="24"/>
          <w:szCs w:val="24"/>
          <w:shd w:val="clear" w:color="auto" w:fill="FFFFFF"/>
        </w:rPr>
        <w:t>252.3</w:t>
      </w:r>
      <w:r>
        <w:rPr>
          <w:rFonts w:hint="eastAsia" w:ascii="宋体" w:hAnsi="宋体"/>
          <w:sz w:val="30"/>
          <w:szCs w:val="30"/>
        </w:rPr>
        <w:t>万元（上年结转</w:t>
      </w:r>
      <w:r>
        <w:rPr>
          <w:rFonts w:hint="eastAsia" w:ascii="微软雅黑" w:hAnsi="微软雅黑" w:eastAsia="微软雅黑" w:cs="微软雅黑"/>
          <w:i w:val="0"/>
          <w:iCs w:val="0"/>
          <w:caps w:val="0"/>
          <w:color w:val="333333"/>
          <w:spacing w:val="0"/>
          <w:sz w:val="24"/>
          <w:szCs w:val="24"/>
          <w:shd w:val="clear" w:color="auto" w:fill="FFFFFF"/>
        </w:rPr>
        <w:t>74.44</w:t>
      </w:r>
      <w:r>
        <w:rPr>
          <w:rFonts w:hint="eastAsia" w:ascii="宋体" w:hAnsi="宋体"/>
          <w:sz w:val="30"/>
          <w:szCs w:val="30"/>
        </w:rPr>
        <w:t>万元）</w:t>
      </w:r>
      <w:r>
        <w:rPr>
          <w:rFonts w:hint="eastAsia" w:ascii="宋体" w:hAnsi="宋体"/>
          <w:sz w:val="30"/>
          <w:szCs w:val="30"/>
          <w:lang w:eastAsia="zh-CN"/>
        </w:rPr>
        <w:t>，基本预算支出</w:t>
      </w:r>
      <w:r>
        <w:rPr>
          <w:rFonts w:hint="eastAsia" w:ascii="宋体" w:hAnsi="宋体"/>
          <w:sz w:val="30"/>
          <w:szCs w:val="30"/>
          <w:lang w:val="en-US" w:eastAsia="zh-CN"/>
        </w:rPr>
        <w:t>242.3万元，项目预算支出10万元</w:t>
      </w:r>
      <w:r>
        <w:rPr>
          <w:rFonts w:hint="eastAsia" w:ascii="宋体" w:hAnsi="宋体"/>
          <w:sz w:val="30"/>
          <w:szCs w:val="30"/>
        </w:rPr>
        <w:t>。</w:t>
      </w:r>
      <w:r>
        <w:rPr>
          <w:rFonts w:hint="eastAsia" w:ascii="宋体" w:hAnsi="宋体"/>
          <w:sz w:val="30"/>
          <w:szCs w:val="30"/>
          <w:lang w:eastAsia="zh-CN"/>
        </w:rPr>
        <w:t>实际</w:t>
      </w:r>
      <w:r>
        <w:rPr>
          <w:rFonts w:hint="eastAsia" w:ascii="宋体" w:hAnsi="宋体"/>
          <w:sz w:val="30"/>
          <w:szCs w:val="30"/>
        </w:rPr>
        <w:t>总支</w:t>
      </w:r>
      <w:r>
        <w:rPr>
          <w:rFonts w:hint="eastAsia" w:ascii="宋体" w:hAnsi="宋体"/>
          <w:sz w:val="30"/>
          <w:szCs w:val="30"/>
          <w:lang w:eastAsia="zh-CN"/>
        </w:rPr>
        <w:t>出</w:t>
      </w:r>
      <w:r>
        <w:rPr>
          <w:rFonts w:hint="eastAsia" w:ascii="微软雅黑" w:hAnsi="微软雅黑" w:eastAsia="微软雅黑" w:cs="微软雅黑"/>
          <w:i w:val="0"/>
          <w:iCs w:val="0"/>
          <w:caps w:val="0"/>
          <w:color w:val="333333"/>
          <w:spacing w:val="0"/>
          <w:sz w:val="24"/>
          <w:szCs w:val="24"/>
          <w:shd w:val="clear" w:color="auto" w:fill="FFFFFF"/>
          <w:lang w:val="en-US" w:eastAsia="zh-CN"/>
        </w:rPr>
        <w:t>290.29</w:t>
      </w:r>
      <w:r>
        <w:rPr>
          <w:rFonts w:hint="eastAsia" w:ascii="宋体" w:hAnsi="宋体"/>
          <w:sz w:val="30"/>
          <w:szCs w:val="30"/>
        </w:rPr>
        <w:t>万元，其中基本支出</w:t>
      </w:r>
      <w:r>
        <w:rPr>
          <w:rFonts w:hint="eastAsia" w:ascii="宋体" w:hAnsi="宋体"/>
          <w:sz w:val="30"/>
          <w:szCs w:val="30"/>
          <w:lang w:val="en-US" w:eastAsia="zh-CN"/>
        </w:rPr>
        <w:t>275.35</w:t>
      </w:r>
      <w:r>
        <w:rPr>
          <w:rFonts w:hint="eastAsia" w:ascii="宋体" w:hAnsi="宋体"/>
          <w:sz w:val="30"/>
          <w:szCs w:val="30"/>
        </w:rPr>
        <w:t>万元，占</w:t>
      </w:r>
      <w:r>
        <w:rPr>
          <w:rFonts w:hint="eastAsia" w:ascii="宋体" w:hAnsi="宋体"/>
          <w:sz w:val="30"/>
          <w:szCs w:val="30"/>
          <w:lang w:eastAsia="zh-CN"/>
        </w:rPr>
        <w:t>年初预算基本</w:t>
      </w:r>
      <w:r>
        <w:rPr>
          <w:rFonts w:hint="eastAsia" w:ascii="宋体" w:hAnsi="宋体"/>
          <w:sz w:val="30"/>
          <w:szCs w:val="30"/>
        </w:rPr>
        <w:t>支出的</w:t>
      </w:r>
      <w:r>
        <w:rPr>
          <w:rFonts w:hint="eastAsia" w:ascii="宋体" w:hAnsi="宋体"/>
          <w:sz w:val="30"/>
          <w:szCs w:val="30"/>
          <w:lang w:val="en-US" w:eastAsia="zh-CN"/>
        </w:rPr>
        <w:t>119.8</w:t>
      </w:r>
      <w:r>
        <w:rPr>
          <w:rFonts w:hint="eastAsia" w:ascii="宋体" w:hAnsi="宋体"/>
          <w:sz w:val="30"/>
          <w:szCs w:val="30"/>
        </w:rPr>
        <w:t>%；项目支出</w:t>
      </w:r>
      <w:r>
        <w:rPr>
          <w:rFonts w:hint="eastAsia" w:ascii="宋体" w:hAnsi="宋体"/>
          <w:sz w:val="30"/>
          <w:szCs w:val="30"/>
          <w:lang w:val="en-US" w:eastAsia="zh-CN"/>
        </w:rPr>
        <w:t>14.95</w:t>
      </w:r>
      <w:r>
        <w:rPr>
          <w:rFonts w:hint="eastAsia" w:ascii="宋体" w:hAnsi="宋体"/>
          <w:sz w:val="30"/>
          <w:szCs w:val="30"/>
        </w:rPr>
        <w:t>万元，占</w:t>
      </w:r>
      <w:r>
        <w:rPr>
          <w:rFonts w:hint="eastAsia" w:ascii="宋体" w:hAnsi="宋体"/>
          <w:sz w:val="30"/>
          <w:szCs w:val="30"/>
          <w:lang w:eastAsia="zh-CN"/>
        </w:rPr>
        <w:t>年初预算项目</w:t>
      </w:r>
      <w:r>
        <w:rPr>
          <w:rFonts w:hint="eastAsia" w:ascii="宋体" w:hAnsi="宋体"/>
          <w:sz w:val="30"/>
          <w:szCs w:val="30"/>
        </w:rPr>
        <w:t>支出的</w:t>
      </w:r>
      <w:r>
        <w:rPr>
          <w:rFonts w:hint="eastAsia" w:ascii="宋体" w:hAnsi="宋体"/>
          <w:sz w:val="30"/>
          <w:szCs w:val="30"/>
          <w:lang w:val="en-US" w:eastAsia="zh-CN"/>
        </w:rPr>
        <w:t>149.5</w:t>
      </w:r>
      <w:r>
        <w:rPr>
          <w:rFonts w:hint="eastAsia" w:ascii="宋体" w:hAnsi="宋体"/>
          <w:sz w:val="30"/>
          <w:szCs w:val="30"/>
        </w:rPr>
        <w:t>%。</w:t>
      </w:r>
    </w:p>
    <w:p>
      <w:pPr>
        <w:numPr>
          <w:ilvl w:val="0"/>
          <w:numId w:val="0"/>
        </w:numPr>
        <w:ind w:firstLine="600" w:firstLineChars="200"/>
        <w:rPr>
          <w:rFonts w:ascii="宋体" w:hAnsi="宋体"/>
          <w:sz w:val="30"/>
          <w:szCs w:val="30"/>
        </w:rPr>
      </w:pPr>
      <w:r>
        <w:rPr>
          <w:rFonts w:hint="eastAsia" w:ascii="宋体" w:hAnsi="宋体"/>
          <w:sz w:val="30"/>
          <w:szCs w:val="30"/>
          <w:lang w:val="en-US" w:eastAsia="zh-CN"/>
        </w:rPr>
        <w:t>1、</w:t>
      </w:r>
      <w:r>
        <w:rPr>
          <w:rFonts w:hint="eastAsia" w:ascii="宋体" w:hAnsi="宋体"/>
          <w:sz w:val="30"/>
          <w:szCs w:val="30"/>
        </w:rPr>
        <w:t>支出情况</w:t>
      </w:r>
    </w:p>
    <w:p>
      <w:pPr>
        <w:ind w:firstLine="600" w:firstLineChars="200"/>
        <w:rPr>
          <w:rFonts w:hint="eastAsia" w:ascii="宋体" w:hAnsi="宋体"/>
          <w:sz w:val="30"/>
          <w:szCs w:val="30"/>
          <w:shd w:val="clear" w:color="auto" w:fill="FFFFFF"/>
        </w:rPr>
      </w:pPr>
      <w:r>
        <w:rPr>
          <w:rFonts w:hint="eastAsia" w:ascii="宋体" w:hAnsi="宋体"/>
          <w:sz w:val="30"/>
          <w:szCs w:val="30"/>
          <w:lang w:eastAsia="zh-CN"/>
        </w:rPr>
        <w:t>基本</w:t>
      </w:r>
      <w:r>
        <w:rPr>
          <w:rFonts w:hint="eastAsia" w:ascii="宋体" w:hAnsi="宋体"/>
          <w:sz w:val="30"/>
          <w:szCs w:val="30"/>
        </w:rPr>
        <w:t>支</w:t>
      </w:r>
      <w:r>
        <w:rPr>
          <w:rFonts w:hint="eastAsia" w:ascii="宋体" w:hAnsi="宋体"/>
          <w:sz w:val="30"/>
          <w:szCs w:val="30"/>
          <w:lang w:eastAsia="zh-CN"/>
        </w:rPr>
        <w:t>出</w:t>
      </w:r>
      <w:r>
        <w:rPr>
          <w:rFonts w:hint="eastAsia" w:ascii="宋体" w:hAnsi="宋体"/>
          <w:sz w:val="30"/>
          <w:szCs w:val="30"/>
          <w:lang w:val="en-US" w:eastAsia="zh-CN"/>
        </w:rPr>
        <w:t>275.35</w:t>
      </w:r>
      <w:r>
        <w:rPr>
          <w:rFonts w:hint="eastAsia" w:ascii="宋体" w:hAnsi="宋体"/>
          <w:sz w:val="30"/>
          <w:szCs w:val="30"/>
        </w:rPr>
        <w:t>万元</w:t>
      </w:r>
      <w:r>
        <w:rPr>
          <w:rFonts w:hint="eastAsia" w:ascii="宋体" w:hAnsi="宋体"/>
          <w:sz w:val="30"/>
          <w:szCs w:val="30"/>
          <w:shd w:val="clear" w:color="auto" w:fill="FFFFFF"/>
        </w:rPr>
        <w:t>，其中：社会保障和就业支出</w:t>
      </w:r>
      <w:r>
        <w:rPr>
          <w:rFonts w:hint="eastAsia" w:ascii="宋体" w:hAnsi="宋体" w:cs="宋体"/>
          <w:color w:val="000000"/>
          <w:kern w:val="0"/>
          <w:sz w:val="24"/>
          <w:lang w:val="en-US" w:eastAsia="zh-CN"/>
        </w:rPr>
        <w:t>16.29</w:t>
      </w:r>
      <w:r>
        <w:rPr>
          <w:rFonts w:hint="eastAsia" w:ascii="宋体" w:hAnsi="宋体"/>
          <w:sz w:val="30"/>
          <w:szCs w:val="30"/>
          <w:shd w:val="clear" w:color="auto" w:fill="FFFFFF"/>
        </w:rPr>
        <w:t>万元，占5.</w:t>
      </w:r>
      <w:r>
        <w:rPr>
          <w:rFonts w:hint="eastAsia" w:ascii="宋体" w:hAnsi="宋体"/>
          <w:sz w:val="30"/>
          <w:szCs w:val="30"/>
          <w:shd w:val="clear" w:color="auto" w:fill="FFFFFF"/>
          <w:lang w:val="en-US" w:eastAsia="zh-CN"/>
        </w:rPr>
        <w:t>92</w:t>
      </w:r>
      <w:r>
        <w:rPr>
          <w:rFonts w:hint="eastAsia" w:ascii="宋体" w:hAnsi="宋体"/>
          <w:sz w:val="30"/>
          <w:szCs w:val="30"/>
          <w:shd w:val="clear" w:color="auto" w:fill="FFFFFF"/>
        </w:rPr>
        <w:t>%，一般公共服务支出</w:t>
      </w:r>
      <w:r>
        <w:rPr>
          <w:rFonts w:hint="eastAsia" w:ascii="宋体" w:hAnsi="宋体"/>
          <w:sz w:val="30"/>
          <w:szCs w:val="30"/>
          <w:shd w:val="clear" w:color="auto" w:fill="FFFFFF"/>
          <w:lang w:val="en-US" w:eastAsia="zh-CN"/>
        </w:rPr>
        <w:t>248.32</w:t>
      </w:r>
      <w:r>
        <w:rPr>
          <w:rFonts w:hint="eastAsia" w:ascii="宋体" w:hAnsi="宋体"/>
          <w:sz w:val="30"/>
          <w:szCs w:val="30"/>
          <w:shd w:val="clear" w:color="auto" w:fill="FFFFFF"/>
        </w:rPr>
        <w:t>万元，占</w:t>
      </w:r>
      <w:r>
        <w:rPr>
          <w:rFonts w:hint="eastAsia" w:ascii="宋体" w:hAnsi="宋体"/>
          <w:sz w:val="30"/>
          <w:szCs w:val="30"/>
          <w:shd w:val="clear" w:color="auto" w:fill="FFFFFF"/>
          <w:lang w:val="en-US" w:eastAsia="zh-CN"/>
        </w:rPr>
        <w:t>90.18</w:t>
      </w:r>
      <w:r>
        <w:rPr>
          <w:rFonts w:hint="eastAsia" w:ascii="宋体" w:hAnsi="宋体"/>
          <w:sz w:val="30"/>
          <w:szCs w:val="30"/>
          <w:shd w:val="clear" w:color="auto" w:fill="FFFFFF"/>
        </w:rPr>
        <w:t>%，医疗卫生与计划生育支出</w:t>
      </w:r>
      <w:r>
        <w:rPr>
          <w:rFonts w:hint="eastAsia" w:ascii="宋体" w:hAnsi="宋体"/>
          <w:sz w:val="30"/>
          <w:szCs w:val="30"/>
          <w:shd w:val="clear" w:color="auto" w:fill="FFFFFF"/>
          <w:lang w:val="en-US" w:eastAsia="zh-CN"/>
        </w:rPr>
        <w:t>4.45</w:t>
      </w:r>
      <w:r>
        <w:rPr>
          <w:rFonts w:hint="eastAsia" w:ascii="宋体" w:hAnsi="宋体"/>
          <w:sz w:val="30"/>
          <w:szCs w:val="30"/>
          <w:shd w:val="clear" w:color="auto" w:fill="FFFFFF"/>
        </w:rPr>
        <w:t>万元，占</w:t>
      </w:r>
      <w:r>
        <w:rPr>
          <w:rFonts w:hint="eastAsia" w:ascii="宋体" w:hAnsi="宋体"/>
          <w:sz w:val="30"/>
          <w:szCs w:val="30"/>
          <w:shd w:val="clear" w:color="auto" w:fill="FFFFFF"/>
          <w:lang w:val="en-US" w:eastAsia="zh-CN"/>
        </w:rPr>
        <w:t>1.62</w:t>
      </w:r>
      <w:r>
        <w:rPr>
          <w:rFonts w:hint="eastAsia" w:ascii="宋体" w:hAnsi="宋体"/>
          <w:sz w:val="30"/>
          <w:szCs w:val="30"/>
          <w:shd w:val="clear" w:color="auto" w:fill="FFFFFF"/>
        </w:rPr>
        <w:t>%，住房保障支出</w:t>
      </w:r>
      <w:r>
        <w:rPr>
          <w:rFonts w:hint="eastAsia" w:ascii="宋体" w:hAnsi="宋体"/>
          <w:sz w:val="30"/>
          <w:szCs w:val="30"/>
          <w:shd w:val="clear" w:color="auto" w:fill="FFFFFF"/>
          <w:lang w:val="en-US" w:eastAsia="zh-CN"/>
        </w:rPr>
        <w:t>6.29</w:t>
      </w:r>
      <w:r>
        <w:rPr>
          <w:rFonts w:hint="eastAsia" w:ascii="宋体" w:hAnsi="宋体"/>
          <w:sz w:val="30"/>
          <w:szCs w:val="30"/>
          <w:shd w:val="clear" w:color="auto" w:fill="FFFFFF"/>
        </w:rPr>
        <w:t>万元，占</w:t>
      </w:r>
      <w:r>
        <w:rPr>
          <w:rFonts w:hint="eastAsia" w:ascii="宋体" w:hAnsi="宋体"/>
          <w:sz w:val="30"/>
          <w:szCs w:val="30"/>
          <w:shd w:val="clear" w:color="auto" w:fill="FFFFFF"/>
          <w:lang w:val="en-US" w:eastAsia="zh-CN"/>
        </w:rPr>
        <w:t>2.28</w:t>
      </w:r>
      <w:r>
        <w:rPr>
          <w:rFonts w:hint="eastAsia" w:ascii="宋体" w:hAnsi="宋体"/>
          <w:sz w:val="30"/>
          <w:szCs w:val="30"/>
          <w:shd w:val="clear" w:color="auto" w:fill="FFFFFF"/>
        </w:rPr>
        <w:t>%。</w:t>
      </w:r>
    </w:p>
    <w:p>
      <w:pPr>
        <w:ind w:firstLine="600" w:firstLineChars="200"/>
        <w:rPr>
          <w:rFonts w:hint="eastAsia" w:asciiTheme="minorEastAsia" w:hAnsiTheme="minorEastAsia" w:eastAsiaTheme="minorEastAsia" w:cstheme="minorEastAsia"/>
          <w:sz w:val="30"/>
          <w:szCs w:val="30"/>
          <w:shd w:val="clear" w:color="auto" w:fill="FFFFFF"/>
          <w:lang w:val="en-US" w:eastAsia="zh-CN"/>
        </w:rPr>
      </w:pPr>
      <w:r>
        <w:rPr>
          <w:rFonts w:hint="eastAsia" w:asciiTheme="minorEastAsia" w:hAnsiTheme="minorEastAsia" w:eastAsiaTheme="minorEastAsia" w:cstheme="minorEastAsia"/>
          <w:sz w:val="30"/>
          <w:szCs w:val="30"/>
          <w:shd w:val="clear" w:color="auto" w:fill="FFFFFF"/>
          <w:lang w:eastAsia="zh-CN"/>
        </w:rPr>
        <w:t>项目支出</w:t>
      </w:r>
      <w:r>
        <w:rPr>
          <w:rFonts w:hint="eastAsia" w:ascii="宋体" w:hAnsi="宋体"/>
          <w:sz w:val="30"/>
          <w:szCs w:val="30"/>
          <w:lang w:val="en-US" w:eastAsia="zh-CN"/>
        </w:rPr>
        <w:t>14.95</w:t>
      </w:r>
      <w:r>
        <w:rPr>
          <w:rFonts w:hint="eastAsia" w:asciiTheme="minorEastAsia" w:hAnsiTheme="minorEastAsia" w:eastAsiaTheme="minorEastAsia" w:cstheme="minorEastAsia"/>
          <w:sz w:val="30"/>
          <w:szCs w:val="30"/>
          <w:shd w:val="clear" w:color="auto" w:fill="FFFFFF"/>
          <w:lang w:val="en-US" w:eastAsia="zh-CN"/>
        </w:rPr>
        <w:t>万元，</w:t>
      </w:r>
      <w:r>
        <w:rPr>
          <w:rFonts w:hint="eastAsia" w:asciiTheme="minorEastAsia" w:hAnsiTheme="minorEastAsia" w:eastAsiaTheme="minorEastAsia" w:cstheme="minorEastAsia"/>
          <w:i w:val="0"/>
          <w:iCs w:val="0"/>
          <w:caps w:val="0"/>
          <w:color w:val="333333"/>
          <w:spacing w:val="0"/>
          <w:sz w:val="30"/>
          <w:szCs w:val="30"/>
          <w:shd w:val="clear" w:color="auto" w:fill="FFFFFF"/>
        </w:rPr>
        <w:t>其中：</w:t>
      </w:r>
      <w:r>
        <w:rPr>
          <w:rFonts w:hint="eastAsia" w:asciiTheme="minorEastAsia" w:hAnsiTheme="minorEastAsia" w:eastAsiaTheme="minorEastAsia" w:cstheme="minorEastAsia"/>
          <w:i w:val="0"/>
          <w:iCs w:val="0"/>
          <w:caps w:val="0"/>
          <w:color w:val="333333"/>
          <w:spacing w:val="0"/>
          <w:sz w:val="30"/>
          <w:szCs w:val="30"/>
          <w:shd w:val="clear" w:color="auto" w:fill="FFFFFF"/>
          <w:lang w:eastAsia="zh-CN"/>
        </w:rPr>
        <w:t>门球场建设</w:t>
      </w:r>
      <w:r>
        <w:rPr>
          <w:rFonts w:hint="eastAsia" w:asciiTheme="minorEastAsia" w:hAnsiTheme="minorEastAsia" w:eastAsiaTheme="minorEastAsia" w:cstheme="minorEastAsia"/>
          <w:i w:val="0"/>
          <w:iCs w:val="0"/>
          <w:caps w:val="0"/>
          <w:color w:val="333333"/>
          <w:spacing w:val="0"/>
          <w:sz w:val="30"/>
          <w:szCs w:val="30"/>
          <w:shd w:val="clear" w:color="auto" w:fill="FFFFFF"/>
        </w:rPr>
        <w:t>支出</w:t>
      </w:r>
      <w:r>
        <w:rPr>
          <w:rFonts w:hint="eastAsia" w:asciiTheme="minorEastAsia" w:hAnsiTheme="minorEastAsia" w:eastAsiaTheme="minorEastAsia" w:cstheme="minorEastAsia"/>
          <w:i w:val="0"/>
          <w:iCs w:val="0"/>
          <w:caps w:val="0"/>
          <w:color w:val="333333"/>
          <w:spacing w:val="0"/>
          <w:sz w:val="30"/>
          <w:szCs w:val="30"/>
          <w:shd w:val="clear" w:color="auto" w:fill="FFFFFF"/>
          <w:lang w:val="en-US" w:eastAsia="zh-CN"/>
        </w:rPr>
        <w:t>14.95</w:t>
      </w:r>
      <w:r>
        <w:rPr>
          <w:rFonts w:hint="eastAsia" w:asciiTheme="minorEastAsia" w:hAnsiTheme="minorEastAsia" w:eastAsiaTheme="minorEastAsia" w:cstheme="minorEastAsia"/>
          <w:i w:val="0"/>
          <w:iCs w:val="0"/>
          <w:caps w:val="0"/>
          <w:color w:val="333333"/>
          <w:spacing w:val="0"/>
          <w:sz w:val="30"/>
          <w:szCs w:val="30"/>
          <w:shd w:val="clear" w:color="auto" w:fill="FFFFFF"/>
        </w:rPr>
        <w:t>万元。</w:t>
      </w:r>
    </w:p>
    <w:p>
      <w:pPr>
        <w:ind w:firstLine="600" w:firstLineChars="200"/>
        <w:rPr>
          <w:rFonts w:ascii="宋体" w:hAnsi="宋体"/>
          <w:sz w:val="30"/>
          <w:szCs w:val="30"/>
        </w:rPr>
      </w:pPr>
      <w:r>
        <w:rPr>
          <w:rFonts w:hint="eastAsia" w:ascii="宋体" w:hAnsi="宋体"/>
          <w:sz w:val="30"/>
          <w:szCs w:val="30"/>
        </w:rPr>
        <w:t>2、“三公”经费支出情况</w:t>
      </w:r>
    </w:p>
    <w:p>
      <w:pPr>
        <w:ind w:firstLine="600" w:firstLineChars="200"/>
        <w:rPr>
          <w:rFonts w:ascii="宋体" w:hAnsi="宋体"/>
          <w:sz w:val="30"/>
          <w:szCs w:val="30"/>
        </w:rPr>
      </w:pPr>
      <w:r>
        <w:rPr>
          <w:rFonts w:hint="eastAsia" w:ascii="宋体" w:hAnsi="宋体"/>
          <w:sz w:val="30"/>
          <w:szCs w:val="30"/>
        </w:rPr>
        <w:t>“三公”经费年初预算</w:t>
      </w:r>
      <w:r>
        <w:rPr>
          <w:rFonts w:hint="eastAsia" w:ascii="宋体" w:hAnsi="宋体"/>
          <w:sz w:val="30"/>
          <w:szCs w:val="30"/>
          <w:lang w:val="en-US" w:eastAsia="zh-CN"/>
        </w:rPr>
        <w:t>10</w:t>
      </w:r>
      <w:r>
        <w:rPr>
          <w:rFonts w:hint="eastAsia" w:ascii="宋体" w:hAnsi="宋体"/>
          <w:sz w:val="30"/>
          <w:szCs w:val="30"/>
        </w:rPr>
        <w:t>万元，其中公务接待费</w:t>
      </w:r>
      <w:r>
        <w:rPr>
          <w:rFonts w:hint="eastAsia" w:ascii="宋体" w:hAnsi="宋体"/>
          <w:sz w:val="30"/>
          <w:szCs w:val="30"/>
          <w:lang w:val="en-US" w:eastAsia="zh-CN"/>
        </w:rPr>
        <w:t>7</w:t>
      </w:r>
      <w:r>
        <w:rPr>
          <w:rFonts w:hint="eastAsia" w:ascii="宋体" w:hAnsi="宋体"/>
          <w:sz w:val="30"/>
          <w:szCs w:val="30"/>
        </w:rPr>
        <w:t>万元</w:t>
      </w:r>
      <w:r>
        <w:rPr>
          <w:rFonts w:hint="eastAsia" w:ascii="宋体" w:hAnsi="宋体"/>
          <w:sz w:val="30"/>
          <w:szCs w:val="30"/>
          <w:lang w:eastAsia="zh-CN"/>
        </w:rPr>
        <w:t>，公车运行费</w:t>
      </w:r>
      <w:r>
        <w:rPr>
          <w:rFonts w:hint="eastAsia" w:ascii="宋体" w:hAnsi="宋体"/>
          <w:sz w:val="30"/>
          <w:szCs w:val="30"/>
          <w:lang w:val="en-US" w:eastAsia="zh-CN"/>
        </w:rPr>
        <w:t>3万元</w:t>
      </w:r>
      <w:r>
        <w:rPr>
          <w:rFonts w:hint="eastAsia" w:ascii="宋体" w:hAnsi="宋体"/>
          <w:sz w:val="30"/>
          <w:szCs w:val="30"/>
        </w:rPr>
        <w:t>。实际“三公”经费支出</w:t>
      </w:r>
      <w:r>
        <w:rPr>
          <w:rFonts w:hint="eastAsia" w:ascii="宋体" w:hAnsi="宋体"/>
          <w:sz w:val="30"/>
          <w:szCs w:val="30"/>
          <w:lang w:val="en-US" w:eastAsia="zh-CN"/>
        </w:rPr>
        <w:t>5.54</w:t>
      </w:r>
      <w:r>
        <w:rPr>
          <w:rFonts w:hint="eastAsia" w:ascii="宋体" w:hAnsi="宋体"/>
          <w:sz w:val="30"/>
          <w:szCs w:val="30"/>
        </w:rPr>
        <w:t>万元，占年初预算的</w:t>
      </w:r>
      <w:r>
        <w:rPr>
          <w:rFonts w:hint="eastAsia" w:ascii="宋体" w:hAnsi="宋体"/>
          <w:sz w:val="30"/>
          <w:szCs w:val="30"/>
          <w:lang w:val="en-US" w:eastAsia="zh-CN"/>
        </w:rPr>
        <w:t>55.4</w:t>
      </w:r>
      <w:r>
        <w:rPr>
          <w:rFonts w:hint="eastAsia" w:ascii="宋体" w:hAnsi="宋体"/>
          <w:sz w:val="30"/>
          <w:szCs w:val="30"/>
        </w:rPr>
        <w:t>%，其中公务接待费</w:t>
      </w:r>
      <w:r>
        <w:rPr>
          <w:rFonts w:hint="eastAsia" w:ascii="宋体" w:hAnsi="宋体"/>
          <w:sz w:val="30"/>
          <w:szCs w:val="30"/>
          <w:lang w:val="en-US" w:eastAsia="zh-CN"/>
        </w:rPr>
        <w:t>2.88</w:t>
      </w:r>
      <w:r>
        <w:rPr>
          <w:rFonts w:hint="eastAsia" w:ascii="宋体" w:hAnsi="宋体"/>
          <w:sz w:val="30"/>
          <w:szCs w:val="30"/>
        </w:rPr>
        <w:t>万元，占年初预算的</w:t>
      </w:r>
      <w:r>
        <w:rPr>
          <w:rFonts w:hint="eastAsia" w:ascii="宋体" w:hAnsi="宋体"/>
          <w:sz w:val="30"/>
          <w:szCs w:val="30"/>
          <w:lang w:val="en-US" w:eastAsia="zh-CN"/>
        </w:rPr>
        <w:t>41.14</w:t>
      </w:r>
      <w:r>
        <w:rPr>
          <w:rFonts w:hint="eastAsia" w:ascii="宋体" w:hAnsi="宋体"/>
          <w:sz w:val="30"/>
          <w:szCs w:val="30"/>
        </w:rPr>
        <w:t>%</w:t>
      </w:r>
      <w:r>
        <w:rPr>
          <w:rFonts w:hint="eastAsia" w:ascii="宋体" w:hAnsi="宋体"/>
          <w:sz w:val="30"/>
          <w:szCs w:val="30"/>
          <w:lang w:eastAsia="zh-CN"/>
        </w:rPr>
        <w:t>；公车运行费</w:t>
      </w:r>
      <w:r>
        <w:rPr>
          <w:rFonts w:hint="eastAsia" w:ascii="宋体" w:hAnsi="宋体"/>
          <w:sz w:val="30"/>
          <w:szCs w:val="30"/>
          <w:lang w:val="en-US" w:eastAsia="zh-CN"/>
        </w:rPr>
        <w:t>2.66</w:t>
      </w:r>
      <w:r>
        <w:rPr>
          <w:rFonts w:hint="eastAsia" w:ascii="宋体" w:hAnsi="宋体"/>
          <w:sz w:val="30"/>
          <w:szCs w:val="30"/>
        </w:rPr>
        <w:t>万元，占年初预算的</w:t>
      </w:r>
      <w:r>
        <w:rPr>
          <w:rFonts w:hint="eastAsia" w:ascii="宋体" w:hAnsi="宋体"/>
          <w:sz w:val="30"/>
          <w:szCs w:val="30"/>
          <w:lang w:val="en-US" w:eastAsia="zh-CN"/>
        </w:rPr>
        <w:t>88.67</w:t>
      </w:r>
      <w:r>
        <w:rPr>
          <w:rFonts w:hint="eastAsia" w:ascii="宋体" w:hAnsi="宋体"/>
          <w:sz w:val="30"/>
          <w:szCs w:val="30"/>
        </w:rPr>
        <w:t>%。</w:t>
      </w:r>
    </w:p>
    <w:p>
      <w:pPr>
        <w:ind w:firstLine="600" w:firstLineChars="200"/>
        <w:rPr>
          <w:rFonts w:ascii="宋体" w:hAnsi="宋体"/>
          <w:sz w:val="30"/>
          <w:szCs w:val="30"/>
        </w:rPr>
      </w:pPr>
      <w:r>
        <w:rPr>
          <w:rFonts w:hint="eastAsia" w:ascii="宋体" w:hAnsi="宋体" w:cs="仿宋_GB2312"/>
          <w:sz w:val="30"/>
          <w:szCs w:val="30"/>
        </w:rPr>
        <w:t>3、严格按照项目资金相关管理规定管理和使用财政项目资金，确保财政资金使用效益。做到资金拨付审批手续完整，专款专用，不存在支出依据不合规、虚列项目支出、截留、挤占、挪用和超标准支出等现象。同时，我们严格按照《会计法》及相关会计制度办理会计业务，进行会计核算，确保专项资金会计信息客观、真实。</w:t>
      </w:r>
    </w:p>
    <w:p>
      <w:pPr>
        <w:spacing w:line="560" w:lineRule="exact"/>
        <w:ind w:firstLine="600" w:firstLineChars="200"/>
        <w:rPr>
          <w:rFonts w:ascii="黑体" w:hAnsi="宋体" w:eastAsia="黑体" w:cs="仿宋_GB2312"/>
          <w:sz w:val="30"/>
          <w:szCs w:val="30"/>
        </w:rPr>
      </w:pPr>
      <w:r>
        <w:rPr>
          <w:rFonts w:hint="eastAsia" w:ascii="黑体" w:hAnsi="宋体" w:eastAsia="黑体" w:cs="仿宋_GB2312"/>
          <w:sz w:val="30"/>
          <w:szCs w:val="30"/>
        </w:rPr>
        <w:t>四、整体支出绩效目标完成情况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600"/>
        <w:jc w:val="both"/>
        <w:rPr>
          <w:rFonts w:ascii="微软雅黑" w:hAnsi="微软雅黑" w:eastAsia="微软雅黑" w:cs="微软雅黑"/>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bdr w:val="none" w:color="auto" w:sz="0" w:space="0"/>
          <w:shd w:val="clear" w:fill="FFFFFF"/>
          <w:lang w:val="en-US" w:eastAsia="zh-CN" w:bidi="ar"/>
        </w:rPr>
        <w:t>1、扎实开展离退休干部党建工作。召开了会议研究工作计划，对工作进行了工作安排，加强了对离退休党支部工作指导和协调，全县共成立了83个离退休干部党支部；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600"/>
        <w:jc w:val="both"/>
        <w:rPr>
          <w:rFonts w:hint="eastAsia" w:ascii="微软雅黑" w:hAnsi="微软雅黑" w:eastAsia="微软雅黑" w:cs="微软雅黑"/>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bdr w:val="none" w:color="auto" w:sz="0" w:space="0"/>
          <w:shd w:val="clear" w:fill="FFFFFF"/>
          <w:lang w:val="en-US" w:eastAsia="zh-CN" w:bidi="ar"/>
        </w:rPr>
        <w:t>2、两项待遇得到进一步落实。一是坚持了老干部政治学习制度，确定每月15日为老干部政治学习日，组织老干部学习了十九大精神等，提高了老干部的政治素质，开阔了老干部的心胸视野，坚定了老干部的理想信念。二是坚持列席会议制度，县委等重大会议均邀请老干部代表参加，并听取了老干部的意见和建议。三是进一步强化了离退休干部医疗保障制度，实现离休干部医药费全额报销，实行财政兜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600"/>
        <w:jc w:val="both"/>
        <w:rPr>
          <w:rFonts w:hint="eastAsia" w:ascii="微软雅黑" w:hAnsi="微软雅黑" w:eastAsia="微软雅黑" w:cs="微软雅黑"/>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bdr w:val="none" w:color="auto" w:sz="0" w:space="0"/>
          <w:shd w:val="clear" w:fill="FFFFFF"/>
          <w:lang w:val="en-US" w:eastAsia="zh-CN" w:bidi="ar"/>
        </w:rPr>
        <w:t>3、自身建设进一步提高。一是加强与老干部联系沟通，确定每人联系10—15名老干部，每月与老干部联系，进行走访，了解掌握老干部身体、家庭情况，建立台账。二是进一步强化信访工作，确保老干部稳定。建立信访登记制度、推行首问责任制，对老干部的来访请求做到了登记、答复，使矛盾和意见得到消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600"/>
        <w:jc w:val="both"/>
        <w:rPr>
          <w:rFonts w:hint="eastAsia" w:ascii="黑体" w:hAnsi="黑体" w:eastAsia="黑体" w:cs="黑体"/>
          <w:i w:val="0"/>
          <w:iCs w:val="0"/>
          <w:caps w:val="0"/>
          <w:color w:val="333333"/>
          <w:spacing w:val="0"/>
          <w:sz w:val="30"/>
          <w:szCs w:val="30"/>
        </w:rPr>
      </w:pPr>
      <w:r>
        <w:rPr>
          <w:rFonts w:hint="eastAsia" w:ascii="黑体" w:hAnsi="黑体" w:eastAsia="黑体" w:cs="黑体"/>
          <w:b/>
          <w:bCs/>
          <w:i w:val="0"/>
          <w:iCs w:val="0"/>
          <w:caps w:val="0"/>
          <w:color w:val="333333"/>
          <w:spacing w:val="0"/>
          <w:kern w:val="0"/>
          <w:sz w:val="30"/>
          <w:szCs w:val="30"/>
          <w:bdr w:val="none" w:color="auto" w:sz="0" w:space="0"/>
          <w:shd w:val="clear" w:fill="FFFFFF"/>
          <w:lang w:val="en-US" w:eastAsia="zh-CN" w:bidi="ar"/>
        </w:rPr>
        <w:t>五、存在的问题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600"/>
        <w:jc w:val="both"/>
        <w:rPr>
          <w:rFonts w:hint="eastAsia" w:ascii="微软雅黑" w:hAnsi="微软雅黑" w:eastAsia="微软雅黑" w:cs="微软雅黑"/>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bdr w:val="none" w:color="auto" w:sz="0" w:space="0"/>
          <w:shd w:val="clear" w:fill="FFFFFF"/>
          <w:lang w:val="en-US" w:eastAsia="zh-CN" w:bidi="ar"/>
        </w:rPr>
        <w:t>在部门整体支出的资金安排和使用上仍有不可预见性，在科学设置预算绩效指标上还需进一步加强，使之更加贴合我办工作的实际。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600"/>
        <w:jc w:val="both"/>
        <w:rPr>
          <w:rFonts w:hint="eastAsia" w:ascii="黑体" w:hAnsi="黑体" w:eastAsia="黑体" w:cs="黑体"/>
          <w:i w:val="0"/>
          <w:iCs w:val="0"/>
          <w:caps w:val="0"/>
          <w:color w:val="333333"/>
          <w:spacing w:val="0"/>
          <w:sz w:val="30"/>
          <w:szCs w:val="30"/>
        </w:rPr>
      </w:pPr>
      <w:r>
        <w:rPr>
          <w:rFonts w:hint="eastAsia" w:ascii="黑体" w:hAnsi="黑体" w:eastAsia="黑体" w:cs="黑体"/>
          <w:b/>
          <w:bCs/>
          <w:i w:val="0"/>
          <w:iCs w:val="0"/>
          <w:caps w:val="0"/>
          <w:color w:val="333333"/>
          <w:spacing w:val="0"/>
          <w:kern w:val="0"/>
          <w:sz w:val="30"/>
          <w:szCs w:val="30"/>
          <w:bdr w:val="none" w:color="auto" w:sz="0" w:space="0"/>
          <w:shd w:val="clear" w:fill="FFFFFF"/>
          <w:lang w:val="en-US" w:eastAsia="zh-CN" w:bidi="ar"/>
        </w:rPr>
        <w:t>六、改进措施与建议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157" w:afterAutospacing="0" w:line="460" w:lineRule="atLeast"/>
        <w:ind w:left="0" w:right="0" w:firstLine="600"/>
        <w:jc w:val="both"/>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1、部门整体绩效评价工作是一项长期性的工作，专业性强，工作量大，建议财政有关部门进一步加强开展相关的业务工作培训，组织开展部门之间、单位之间的经验交流，切实推进绩效评价工作的开展。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    2、在部门整体支出中，对于偶然出现的突发状况，可以调整工作顺序，优先安排部分急需资金。</w:t>
      </w:r>
    </w:p>
    <w:p>
      <w:pPr>
        <w:ind w:firstLine="560" w:firstLineChars="200"/>
        <w:rPr>
          <w:rFonts w:ascii="宋体" w:hAnsi="宋体"/>
          <w:sz w:val="28"/>
          <w:szCs w:val="28"/>
        </w:rPr>
      </w:pPr>
    </w:p>
    <w:p>
      <w:pPr>
        <w:rPr>
          <w:rFonts w:ascii="宋体" w:hAnsi="宋体"/>
          <w:sz w:val="28"/>
          <w:szCs w:val="28"/>
        </w:rPr>
      </w:pPr>
    </w:p>
    <w:p>
      <w:pPr>
        <w:ind w:firstLine="560" w:firstLineChars="200"/>
        <w:rPr>
          <w:rFonts w:ascii="宋体" w:hAnsi="宋体"/>
          <w:sz w:val="28"/>
          <w:szCs w:val="28"/>
        </w:rPr>
      </w:pPr>
    </w:p>
    <w:p>
      <w:pPr>
        <w:ind w:firstLine="5320" w:firstLineChars="1900"/>
        <w:rPr>
          <w:rFonts w:hint="eastAsia" w:ascii="宋体" w:hAnsi="宋体" w:eastAsia="宋体"/>
          <w:sz w:val="28"/>
          <w:szCs w:val="28"/>
          <w:lang w:eastAsia="zh-CN"/>
        </w:rPr>
      </w:pPr>
      <w:r>
        <w:rPr>
          <w:rFonts w:hint="eastAsia" w:ascii="宋体" w:hAnsi="宋体"/>
          <w:sz w:val="28"/>
          <w:szCs w:val="28"/>
          <w:lang w:eastAsia="zh-CN"/>
        </w:rPr>
        <w:t>老干部服务中心</w:t>
      </w:r>
    </w:p>
    <w:p>
      <w:pPr>
        <w:ind w:firstLine="5180" w:firstLineChars="1850"/>
        <w:rPr>
          <w:rFonts w:ascii="宋体" w:hAnsi="宋体"/>
          <w:sz w:val="28"/>
          <w:szCs w:val="28"/>
        </w:rPr>
      </w:pPr>
      <w:r>
        <w:rPr>
          <w:rFonts w:hint="eastAsia" w:ascii="宋体" w:hAnsi="宋体"/>
          <w:sz w:val="28"/>
          <w:szCs w:val="28"/>
        </w:rPr>
        <w:t>2021年5月11日</w:t>
      </w:r>
    </w:p>
    <w:p/>
    <w:p/>
    <w:p/>
    <w:p/>
    <w:p/>
    <w:p/>
    <w:p/>
    <w:p/>
    <w:p/>
    <w:p/>
    <w:p/>
    <w:p/>
    <w:p/>
    <w:p/>
    <w:p/>
    <w:p/>
    <w:p/>
    <w:p/>
    <w:p/>
    <w:p/>
    <w:p/>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2"/>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6"/>
        <w:gridCol w:w="456"/>
        <w:gridCol w:w="672"/>
        <w:gridCol w:w="456"/>
        <w:gridCol w:w="1003"/>
        <w:gridCol w:w="456"/>
        <w:gridCol w:w="2972"/>
        <w:gridCol w:w="3434"/>
        <w:gridCol w:w="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9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在职人员控制率=（在职人员数/编制数）×100%，在职人员数：部门（单位）实际在职人数，以财政确定的部门决算编制口径为准。</w:t>
            </w:r>
          </w:p>
          <w:p>
            <w:pPr>
              <w:widowControl/>
              <w:jc w:val="left"/>
              <w:rPr>
                <w:rFonts w:ascii="仿宋" w:eastAsia="仿宋"/>
                <w:sz w:val="24"/>
                <w:szCs w:val="24"/>
              </w:rPr>
            </w:pPr>
            <w:r>
              <w:rPr>
                <w:rFonts w:ascii="仿宋" w:eastAsia="仿宋"/>
                <w:sz w:val="24"/>
                <w:szCs w:val="24"/>
              </w:rPr>
              <w:t>编制数：机构编制部门核定批复的部门（单位）的人员编制数。</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楼堂馆所面积控制率=实际建设面积/批准建设面积×100%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楼堂馆所投资预算控制率=实际投资金额/批准投资金额×100%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公用经费控制率=（实际支出公用经费总额/预算安排公用经费总额）×100%。</w:t>
            </w:r>
          </w:p>
          <w:p>
            <w:pPr>
              <w:widowControl/>
              <w:jc w:val="left"/>
              <w:rPr>
                <w:rFonts w:ascii="仿宋" w:eastAsia="仿宋"/>
                <w:sz w:val="24"/>
                <w:szCs w:val="24"/>
              </w:rPr>
            </w:pPr>
            <w:r>
              <w:rPr>
                <w:rFonts w:ascii="仿宋" w:eastAsia="仿宋"/>
                <w:sz w:val="24"/>
                <w:szCs w:val="24"/>
              </w:rPr>
              <w:t>公用经费支出是指部门基本支出中的一般商品和服务支出。</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①有内部财务管理制度、会计核算制度等管理制度，2分；</w:t>
            </w:r>
          </w:p>
          <w:p>
            <w:pPr>
              <w:widowControl/>
              <w:jc w:val="left"/>
              <w:rPr>
                <w:rFonts w:hint="eastAsia" w:ascii="仿宋" w:eastAsia="仿宋"/>
                <w:sz w:val="24"/>
                <w:szCs w:val="24"/>
                <w:lang w:eastAsia="zh-CN"/>
              </w:rPr>
            </w:pPr>
            <w:r>
              <w:rPr>
                <w:rFonts w:ascii="仿宋" w:eastAsia="仿宋"/>
                <w:sz w:val="24"/>
                <w:szCs w:val="24"/>
              </w:rPr>
              <w:t>②有本部门厉行节约制度,2分；</w:t>
            </w:r>
          </w:p>
          <w:p>
            <w:pPr>
              <w:widowControl/>
              <w:jc w:val="left"/>
              <w:rPr>
                <w:rFonts w:ascii="仿宋" w:eastAsia="仿宋"/>
                <w:sz w:val="24"/>
                <w:szCs w:val="24"/>
              </w:rPr>
            </w:pPr>
            <w:r>
              <w:rPr>
                <w:rFonts w:ascii="仿宋" w:eastAsia="仿宋"/>
                <w:sz w:val="24"/>
                <w:szCs w:val="24"/>
              </w:rPr>
              <w:t>③相关管理制度合法、合规、完整，2分；④相关管理制度得到有效执行，2分。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ind w:firstLine="240" w:firstLineChars="100"/>
              <w:jc w:val="both"/>
              <w:rPr>
                <w:rFonts w:ascii="仿宋" w:eastAsia="仿宋"/>
                <w:sz w:val="24"/>
                <w:szCs w:val="24"/>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ascii="仿宋" w:eastAsia="仿宋"/>
                <w:sz w:val="24"/>
                <w:szCs w:val="24"/>
              </w:rPr>
            </w:pPr>
            <w:r>
              <w:rPr>
                <w:rFonts w:ascii="仿宋" w:eastAsia="仿宋"/>
                <w:sz w:val="24"/>
                <w:szCs w:val="24"/>
              </w:rPr>
              <w:t>以上情况每出现一例不符合要求的扣1分，扣完为止。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1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p>
          <w:p>
            <w:pPr>
              <w:widowControl/>
              <w:jc w:val="left"/>
              <w:rPr>
                <w:rFonts w:ascii="仿宋" w:eastAsia="仿宋"/>
                <w:sz w:val="24"/>
                <w:szCs w:val="24"/>
              </w:rPr>
            </w:pP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16" w:type="dxa"/>
            <w:vMerge w:val="continue"/>
            <w:tcBorders>
              <w:left w:val="single" w:color="000000" w:sz="4" w:space="0"/>
              <w:right w:val="single" w:color="000000" w:sz="4" w:space="0"/>
            </w:tcBorders>
            <w:tcMar>
              <w:left w:w="108" w:type="dxa"/>
              <w:right w:w="108" w:type="dxa"/>
            </w:tcMar>
            <w:vAlign w:val="center"/>
          </w:tcPr>
          <w:p/>
        </w:tc>
        <w:tc>
          <w:tcPr>
            <w:tcW w:w="6506"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7" w:type="dxa"/>
            <w:tcBorders>
              <w:right w:val="single" w:color="000000" w:sz="4" w:space="0"/>
            </w:tcBorders>
            <w:tcMar>
              <w:left w:w="108" w:type="dxa"/>
              <w:right w:w="108" w:type="dxa"/>
            </w:tcMar>
            <w:vAlign w:val="center"/>
          </w:tcPr>
          <w:p>
            <w:pPr>
              <w:widowControl/>
              <w:jc w:val="left"/>
              <w:rPr>
                <w:rFonts w:hint="default"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90%（含）以上计6分；</w:t>
            </w:r>
          </w:p>
          <w:p>
            <w:pPr>
              <w:widowControl/>
              <w:jc w:val="left"/>
              <w:rPr>
                <w:rFonts w:hint="eastAsia" w:ascii="仿宋" w:eastAsia="仿宋"/>
                <w:sz w:val="24"/>
                <w:szCs w:val="24"/>
                <w:lang w:eastAsia="zh-CN"/>
              </w:rPr>
            </w:pPr>
            <w:r>
              <w:rPr>
                <w:rFonts w:ascii="仿宋" w:eastAsia="仿宋"/>
                <w:sz w:val="24"/>
                <w:szCs w:val="24"/>
              </w:rPr>
              <w:t>80%（含）-90%，计4分；</w:t>
            </w:r>
          </w:p>
          <w:p>
            <w:pPr>
              <w:widowControl/>
              <w:jc w:val="left"/>
              <w:rPr>
                <w:rFonts w:hint="eastAsia" w:ascii="仿宋" w:eastAsia="仿宋"/>
                <w:sz w:val="24"/>
                <w:szCs w:val="24"/>
                <w:lang w:eastAsia="zh-CN"/>
              </w:rPr>
            </w:pPr>
            <w:r>
              <w:rPr>
                <w:rFonts w:ascii="仿宋" w:eastAsia="仿宋"/>
                <w:sz w:val="24"/>
                <w:szCs w:val="24"/>
              </w:rPr>
              <w:t>70%（含）-80%，计2分；</w:t>
            </w:r>
          </w:p>
          <w:p>
            <w:pPr>
              <w:widowControl/>
              <w:jc w:val="left"/>
              <w:rPr>
                <w:rFonts w:ascii="仿宋" w:eastAsia="仿宋"/>
                <w:sz w:val="24"/>
                <w:szCs w:val="24"/>
              </w:rPr>
            </w:pPr>
            <w:r>
              <w:rPr>
                <w:rFonts w:ascii="仿宋" w:eastAsia="仿宋"/>
                <w:sz w:val="24"/>
                <w:szCs w:val="24"/>
              </w:rPr>
              <w:t>低于70%计0分。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2"/>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7</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100%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6.58</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5.45</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2.15</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2.66</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2.15</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2.66</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4.43</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7</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40.09</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33</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rPr>
            </w:pPr>
            <w:r>
              <w:rPr>
                <w:rFonts w:hint="eastAsia" w:ascii="仿宋" w:eastAsia="仿宋"/>
                <w:color w:val="FF0000"/>
                <w:sz w:val="24"/>
                <w:highlight w:val="none"/>
                <w:lang w:val="en-US" w:eastAsia="zh-CN"/>
              </w:rPr>
              <w:t>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4.28</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ascii="仿宋" w:eastAsia="仿宋"/>
                <w:color w:val="FF0000"/>
                <w:sz w:val="24"/>
              </w:rPr>
              <w:t>　</w:t>
            </w:r>
            <w:r>
              <w:rPr>
                <w:rFonts w:hint="eastAsia" w:ascii="仿宋" w:eastAsia="仿宋"/>
                <w:color w:val="FF0000"/>
                <w:sz w:val="24"/>
                <w:lang w:val="en-US" w:eastAsia="zh-CN"/>
              </w:rPr>
              <w:t>3.5</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3.56</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5</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highlight w:val="none"/>
                <w:lang w:val="en-US" w:eastAsia="zh-CN"/>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eastAsia="zh-CN"/>
              </w:rPr>
            </w:pPr>
            <w:r>
              <w:rPr>
                <w:rFonts w:ascii="仿宋" w:eastAsia="仿宋"/>
                <w:sz w:val="24"/>
              </w:rPr>
              <w:t>楼堂馆所控制情况</w:t>
            </w:r>
          </w:p>
          <w:p>
            <w:pPr>
              <w:widowControl/>
              <w:jc w:val="center"/>
              <w:rPr>
                <w:rFonts w:ascii="仿宋" w:eastAsia="仿宋"/>
                <w:sz w:val="24"/>
              </w:rPr>
            </w:pP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b/>
                <w:bCs/>
                <w:sz w:val="24"/>
                <w:lang w:eastAsia="zh-CN"/>
              </w:rPr>
            </w:pPr>
            <w:r>
              <w:rPr>
                <w:rFonts w:ascii="仿宋" w:eastAsia="仿宋"/>
                <w:b/>
                <w:bCs/>
                <w:sz w:val="24"/>
              </w:rPr>
              <w:t>批复规模</w:t>
            </w:r>
          </w:p>
          <w:p>
            <w:pPr>
              <w:widowControl/>
              <w:jc w:val="center"/>
              <w:rPr>
                <w:rFonts w:ascii="仿宋" w:eastAsia="仿宋"/>
                <w:b/>
                <w:bCs/>
                <w:sz w:val="24"/>
              </w:rPr>
            </w:pP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2"/>
        <w:tblW w:w="10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1"/>
        <w:gridCol w:w="804"/>
        <w:gridCol w:w="1056"/>
        <w:gridCol w:w="2464"/>
        <w:gridCol w:w="4364"/>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8" w:hRule="atLeast"/>
          <w:tblHeader/>
          <w:jc w:val="center"/>
        </w:trPr>
        <w:tc>
          <w:tcPr>
            <w:tcW w:w="741"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0" w:hRule="atLeast"/>
          <w:tblHeader/>
          <w:jc w:val="center"/>
        </w:trPr>
        <w:tc>
          <w:tcPr>
            <w:tcW w:w="741"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ind w:firstLine="240" w:firstLineChars="100"/>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ind w:firstLine="240" w:firstLineChars="100"/>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ind w:firstLine="240" w:firstLineChars="100"/>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ind w:firstLine="240" w:firstLineChars="100"/>
              <w:rPr>
                <w:rFonts w:hint="eastAsia" w:ascii="仿宋" w:eastAsia="仿宋"/>
                <w:sz w:val="24"/>
                <w:szCs w:val="24"/>
                <w:lang w:val="en-US" w:eastAsia="zh-CN"/>
              </w:rPr>
            </w:pPr>
            <w:r>
              <w:rPr>
                <w:rFonts w:hint="eastAsia" w:ascii="仿宋" w:eastAsia="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ind w:firstLine="240" w:firstLineChars="100"/>
              <w:rPr>
                <w:rFonts w:hint="eastAsia" w:ascii="仿宋" w:eastAsia="仿宋"/>
                <w:sz w:val="24"/>
                <w:szCs w:val="24"/>
                <w:lang w:val="en-US" w:eastAsia="zh-CN"/>
              </w:rPr>
            </w:pPr>
            <w:r>
              <w:rPr>
                <w:rFonts w:hint="eastAsia" w:ascii="仿宋" w:eastAsia="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4"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4" w:hRule="atLeast"/>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6"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ind w:firstLine="240" w:firstLineChars="100"/>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3"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ind w:firstLine="240" w:firstLineChars="100"/>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ind w:firstLine="240" w:firstLineChars="100"/>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ind w:firstLine="240" w:firstLineChars="100"/>
              <w:jc w:val="left"/>
              <w:rPr>
                <w:rFonts w:hint="eastAsia"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7"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ind w:firstLine="240" w:firstLineChars="100"/>
              <w:jc w:val="left"/>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ind w:firstLine="240" w:firstLineChars="100"/>
              <w:jc w:val="left"/>
              <w:rPr>
                <w:rFonts w:hint="eastAsia"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1" w:hRule="exac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ind w:firstLine="240" w:firstLineChars="100"/>
              <w:jc w:val="left"/>
              <w:rPr>
                <w:rFonts w:hint="eastAsia"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ind w:firstLine="240" w:firstLineChars="100"/>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ind w:firstLine="210" w:firstLineChars="100"/>
              <w:rPr>
                <w:rFonts w:hint="default" w:eastAsia="宋体"/>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ind w:firstLine="210" w:firstLineChars="100"/>
              <w:rPr>
                <w:rFonts w:hint="default" w:eastAsia="宋体"/>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ind w:firstLine="210" w:firstLineChars="100"/>
              <w:rPr>
                <w:rFonts w:hint="eastAsia" w:eastAsia="宋体"/>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ind w:firstLine="240" w:firstLineChars="100"/>
              <w:rPr>
                <w:rFonts w:hint="eastAsia" w:ascii="仿宋" w:eastAsia="仿宋"/>
                <w:sz w:val="24"/>
                <w:szCs w:val="24"/>
                <w:lang w:val="en-US" w:eastAsia="zh-CN"/>
              </w:rPr>
            </w:pPr>
            <w:r>
              <w:rPr>
                <w:rFonts w:hint="eastAsia" w:ascii="仿宋" w:eastAsia="仿宋"/>
                <w:sz w:val="24"/>
                <w:szCs w:val="24"/>
                <w:lang w:val="en-US" w:eastAsia="zh-CN"/>
              </w:rPr>
              <w:t>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110DB"/>
    <w:multiLevelType w:val="multilevel"/>
    <w:tmpl w:val="2C3110D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Nzk5NTliODIxODI4NTZkZmI0NmMyZmNmNmIwZmYifQ=="/>
  </w:docVars>
  <w:rsids>
    <w:rsidRoot w:val="4E8E63A9"/>
    <w:rsid w:val="02F00EFA"/>
    <w:rsid w:val="0A021741"/>
    <w:rsid w:val="0BB2074F"/>
    <w:rsid w:val="0DCE6B40"/>
    <w:rsid w:val="13250EEE"/>
    <w:rsid w:val="134523AF"/>
    <w:rsid w:val="135D2E40"/>
    <w:rsid w:val="13966A71"/>
    <w:rsid w:val="147815B3"/>
    <w:rsid w:val="14EA425F"/>
    <w:rsid w:val="1D464944"/>
    <w:rsid w:val="1D5F5A06"/>
    <w:rsid w:val="21AA4E00"/>
    <w:rsid w:val="221E379A"/>
    <w:rsid w:val="22A35DD1"/>
    <w:rsid w:val="25520A81"/>
    <w:rsid w:val="33A81CDC"/>
    <w:rsid w:val="37DC6882"/>
    <w:rsid w:val="39CC6DF4"/>
    <w:rsid w:val="3FCB2D5B"/>
    <w:rsid w:val="43EE2D79"/>
    <w:rsid w:val="448434D9"/>
    <w:rsid w:val="4E8E63A9"/>
    <w:rsid w:val="4F7729CD"/>
    <w:rsid w:val="571E2DED"/>
    <w:rsid w:val="5AC65978"/>
    <w:rsid w:val="78D6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6138</Words>
  <Characters>6469</Characters>
  <Lines>0</Lines>
  <Paragraphs>0</Paragraphs>
  <TotalTime>45</TotalTime>
  <ScaleCrop>false</ScaleCrop>
  <LinksUpToDate>false</LinksUpToDate>
  <CharactersWithSpaces>7012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2022-05-12T04:31:00Z</dcterms:created>
  <dc:creator>Administrator</dc:creator>
  <cp:lastModifiedBy>Administrator</cp:lastModifiedBy>
  <dcterms:modified xsi:type="dcterms:W3CDTF">2022-05-12T13:44:19Z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FC67CEA5EBD94F81A85099760BABAA5D</vt:lpwstr>
  </property>
</Properties>
</file>