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spacing w:line="560" w:lineRule="exact"/>
        <w:jc w:val="center"/>
        <w:rPr>
          <w:rFonts w:ascii="仿宋" w:hAnsi="仿宋" w:eastAsia="仿宋"/>
          <w:sz w:val="24"/>
        </w:rPr>
      </w:pPr>
      <w:r>
        <w:rPr>
          <w:rFonts w:ascii="仿宋" w:hAnsi="仿宋" w:eastAsia="仿宋"/>
          <w:sz w:val="36"/>
          <w:szCs w:val="36"/>
        </w:rPr>
        <w:t>部门整体支出绩效评价指标表</w:t>
      </w:r>
    </w:p>
    <w:tbl>
      <w:tblPr>
        <w:tblStyle w:val="6"/>
        <w:tblW w:w="10600" w:type="dxa"/>
        <w:jc w:val="center"/>
        <w:tblLayout w:type="autofit"/>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三级</w:t>
            </w:r>
          </w:p>
          <w:p>
            <w:pPr>
              <w:widowControl/>
              <w:jc w:val="center"/>
              <w:rPr>
                <w:rFonts w:ascii="仿宋" w:hAnsi="仿宋" w:eastAsia="仿宋"/>
                <w:sz w:val="20"/>
                <w:szCs w:val="20"/>
              </w:rPr>
            </w:pPr>
            <w:r>
              <w:rPr>
                <w:rFonts w:ascii="仿宋" w:hAnsi="仿宋" w:eastAsia="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在职人员控制率=（在职人员数/编制数）×100%，在职人员数：部门（单位）实际在职人数，以财政确定的部门决算编制口径为准。</w:t>
            </w:r>
          </w:p>
          <w:p>
            <w:pPr>
              <w:widowControl/>
              <w:jc w:val="left"/>
              <w:rPr>
                <w:rFonts w:ascii="仿宋" w:hAnsi="仿宋" w:eastAsia="仿宋"/>
                <w:sz w:val="20"/>
                <w:szCs w:val="20"/>
              </w:rPr>
            </w:pPr>
            <w:r>
              <w:rPr>
                <w:rFonts w:ascii="仿宋" w:hAnsi="仿宋" w:eastAsia="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4</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“三公经费”变动率≦0,计</w:t>
            </w:r>
            <w:r>
              <w:rPr>
                <w:rFonts w:hint="eastAsia" w:ascii="仿宋" w:hAnsi="仿宋" w:eastAsia="仿宋"/>
                <w:sz w:val="20"/>
                <w:szCs w:val="20"/>
              </w:rPr>
              <w:t>5</w:t>
            </w:r>
            <w:r>
              <w:rPr>
                <w:rFonts w:ascii="仿宋" w:hAnsi="仿宋" w:eastAsia="仿宋"/>
                <w:sz w:val="20"/>
                <w:szCs w:val="20"/>
              </w:rPr>
              <w:t>分；“三公经费”＞0，每超过一个百分点扣0.</w:t>
            </w:r>
            <w:r>
              <w:rPr>
                <w:rFonts w:hint="eastAsia" w:ascii="仿宋" w:hAnsi="仿宋" w:eastAsia="仿宋"/>
                <w:sz w:val="20"/>
                <w:szCs w:val="20"/>
              </w:rPr>
              <w:t>5</w:t>
            </w:r>
            <w:r>
              <w:rPr>
                <w:rFonts w:ascii="仿宋" w:hAnsi="仿宋" w:eastAsia="仿宋"/>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100%计满分，每低于</w:t>
            </w:r>
            <w:r>
              <w:rPr>
                <w:rFonts w:hint="eastAsia" w:ascii="仿宋" w:hAnsi="仿宋" w:eastAsia="仿宋"/>
                <w:sz w:val="20"/>
                <w:szCs w:val="20"/>
              </w:rPr>
              <w:t>5个百分点</w:t>
            </w:r>
            <w:r>
              <w:rPr>
                <w:rFonts w:ascii="仿宋" w:hAnsi="仿宋" w:eastAsia="仿宋"/>
                <w:sz w:val="20"/>
                <w:szCs w:val="20"/>
              </w:rPr>
              <w:t>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left="239" w:leftChars="114" w:firstLine="0" w:firstLineChars="0"/>
              <w:jc w:val="left"/>
              <w:rPr>
                <w:rFonts w:hint="default" w:ascii="仿宋" w:hAnsi="仿宋" w:eastAsia="仿宋"/>
                <w:sz w:val="24"/>
                <w:lang w:val="en-US" w:eastAsia="zh-CN"/>
              </w:rPr>
            </w:pPr>
            <w:r>
              <w:rPr>
                <w:rFonts w:hint="eastAsia" w:ascii="仿宋" w:hAnsi="仿宋" w:eastAsia="仿宋"/>
                <w:sz w:val="24"/>
                <w:lang w:val="en-US" w:eastAsia="zh-CN"/>
              </w:rPr>
              <w:t xml:space="preserve"> 5</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楼堂馆所面积控制率=实际建设面积/批准建设面积×100% 。</w:t>
            </w:r>
          </w:p>
          <w:p>
            <w:pPr>
              <w:widowControl/>
              <w:jc w:val="left"/>
              <w:rPr>
                <w:rFonts w:ascii="仿宋" w:hAnsi="仿宋" w:eastAsia="仿宋"/>
                <w:sz w:val="20"/>
                <w:szCs w:val="20"/>
              </w:rPr>
            </w:pP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楼堂馆所投资预算控制率=实际投资金额/批准投资金额×100% 。</w:t>
            </w:r>
          </w:p>
          <w:p>
            <w:pPr>
              <w:widowControl/>
              <w:jc w:val="left"/>
              <w:rPr>
                <w:rFonts w:ascii="仿宋" w:hAnsi="仿宋" w:eastAsia="仿宋"/>
                <w:sz w:val="20"/>
                <w:szCs w:val="20"/>
              </w:rPr>
            </w:pP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ascii="仿宋" w:hAnsi="仿宋" w:eastAsia="仿宋"/>
                <w:sz w:val="24"/>
              </w:rPr>
            </w:pPr>
            <w:r>
              <w:rPr>
                <w:rFonts w:hint="eastAsia" w:ascii="仿宋" w:hAnsi="仿宋" w:eastAsia="仿宋"/>
                <w:sz w:val="24"/>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公用经费控制率=（实际支出公用经费总额/预算安排公用经费总额）×100%。</w:t>
            </w:r>
          </w:p>
          <w:p>
            <w:pPr>
              <w:widowControl/>
              <w:jc w:val="left"/>
              <w:rPr>
                <w:rFonts w:ascii="仿宋" w:hAnsi="仿宋" w:eastAsia="仿宋"/>
                <w:sz w:val="20"/>
                <w:szCs w:val="20"/>
              </w:rPr>
            </w:pPr>
            <w:r>
              <w:rPr>
                <w:rFonts w:ascii="仿宋" w:hAnsi="仿宋" w:eastAsia="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7</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6</w:t>
            </w:r>
          </w:p>
        </w:tc>
      </w:tr>
      <w:tr>
        <w:tblPrEx>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r>
              <w:rPr>
                <w:rFonts w:ascii="仿宋" w:hAnsi="仿宋" w:eastAsia="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①有内部财务管理制度、会计核算制度等管理制度，2分；</w:t>
            </w:r>
          </w:p>
          <w:p>
            <w:pPr>
              <w:widowControl/>
              <w:jc w:val="left"/>
              <w:rPr>
                <w:rFonts w:hint="eastAsia" w:ascii="仿宋" w:hAnsi="仿宋" w:eastAsia="仿宋"/>
                <w:sz w:val="20"/>
                <w:szCs w:val="20"/>
                <w:lang w:eastAsia="zh-CN"/>
              </w:rPr>
            </w:pPr>
            <w:r>
              <w:rPr>
                <w:rFonts w:ascii="仿宋" w:hAnsi="仿宋" w:eastAsia="仿宋"/>
                <w:sz w:val="20"/>
                <w:szCs w:val="20"/>
              </w:rPr>
              <w:t>②有本部门厉行节约制度,2分；</w:t>
            </w:r>
          </w:p>
          <w:p>
            <w:pPr>
              <w:widowControl/>
              <w:jc w:val="left"/>
              <w:rPr>
                <w:rFonts w:ascii="仿宋" w:hAnsi="仿宋" w:eastAsia="仿宋"/>
                <w:sz w:val="20"/>
                <w:szCs w:val="20"/>
              </w:rPr>
            </w:pPr>
            <w:r>
              <w:rPr>
                <w:rFonts w:ascii="仿宋" w:hAnsi="仿宋" w:eastAsia="仿宋"/>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7</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hAnsi="仿宋" w:eastAsia="仿宋"/>
                <w:sz w:val="20"/>
                <w:szCs w:val="20"/>
              </w:rPr>
            </w:pPr>
            <w:r>
              <w:rPr>
                <w:rFonts w:ascii="仿宋" w:hAnsi="仿宋" w:eastAsia="仿宋"/>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根据绩效办201</w:t>
            </w:r>
            <w:r>
              <w:rPr>
                <w:rFonts w:hint="eastAsia" w:ascii="仿宋" w:hAnsi="仿宋" w:eastAsia="仿宋"/>
                <w:sz w:val="20"/>
                <w:szCs w:val="20"/>
              </w:rPr>
              <w:t>8</w:t>
            </w:r>
            <w:r>
              <w:rPr>
                <w:rFonts w:ascii="仿宋" w:hAnsi="仿宋" w:eastAsia="仿宋"/>
                <w:sz w:val="20"/>
                <w:szCs w:val="20"/>
              </w:rPr>
              <w:t>年对各部门为民办实事和部门重点工程与重点工作考核分数折算。</w:t>
            </w:r>
          </w:p>
          <w:p>
            <w:pPr>
              <w:widowControl/>
              <w:jc w:val="left"/>
              <w:rPr>
                <w:rFonts w:ascii="仿宋" w:hAnsi="仿宋" w:eastAsia="仿宋"/>
                <w:sz w:val="20"/>
                <w:szCs w:val="20"/>
              </w:rPr>
            </w:pPr>
            <w:r>
              <w:rPr>
                <w:rFonts w:ascii="仿宋" w:hAnsi="仿宋" w:eastAsia="仿宋"/>
                <w:sz w:val="20"/>
                <w:szCs w:val="20"/>
              </w:rPr>
              <w:t>该项得分=（绩效办对应部分考核得分/</w:t>
            </w:r>
            <w:r>
              <w:rPr>
                <w:rFonts w:hint="eastAsia" w:ascii="仿宋" w:hAnsi="仿宋" w:eastAsia="仿宋"/>
                <w:sz w:val="20"/>
                <w:szCs w:val="20"/>
              </w:rPr>
              <w:t>100</w:t>
            </w:r>
            <w:r>
              <w:rPr>
                <w:rFonts w:ascii="仿宋" w:hAnsi="仿宋" w:eastAsia="仿宋"/>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9</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416"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rPr>
            </w:pPr>
          </w:p>
        </w:tc>
        <w:tc>
          <w:tcPr>
            <w:tcW w:w="6506" w:type="dxa"/>
            <w:gridSpan w:val="2"/>
            <w:vMerge w:val="continue"/>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rPr>
            </w:p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90%（含）以上计6分；</w:t>
            </w:r>
          </w:p>
          <w:p>
            <w:pPr>
              <w:widowControl/>
              <w:jc w:val="left"/>
              <w:rPr>
                <w:rFonts w:hint="eastAsia" w:ascii="仿宋" w:hAnsi="仿宋" w:eastAsia="仿宋"/>
                <w:sz w:val="20"/>
                <w:szCs w:val="20"/>
                <w:lang w:eastAsia="zh-CN"/>
              </w:rPr>
            </w:pPr>
            <w:r>
              <w:rPr>
                <w:rFonts w:ascii="仿宋" w:hAnsi="仿宋" w:eastAsia="仿宋"/>
                <w:sz w:val="20"/>
                <w:szCs w:val="20"/>
              </w:rPr>
              <w:t>80%（含）-90%，计4分；</w:t>
            </w:r>
          </w:p>
          <w:p>
            <w:pPr>
              <w:widowControl/>
              <w:jc w:val="left"/>
              <w:rPr>
                <w:rFonts w:hint="eastAsia" w:ascii="仿宋" w:hAnsi="仿宋" w:eastAsia="仿宋"/>
                <w:sz w:val="20"/>
                <w:szCs w:val="20"/>
                <w:lang w:eastAsia="zh-CN"/>
              </w:rPr>
            </w:pPr>
            <w:r>
              <w:rPr>
                <w:rFonts w:ascii="仿宋" w:hAnsi="仿宋" w:eastAsia="仿宋"/>
                <w:sz w:val="20"/>
                <w:szCs w:val="20"/>
              </w:rPr>
              <w:t>70%（含）-80%，计2分；</w:t>
            </w:r>
          </w:p>
          <w:p>
            <w:pPr>
              <w:widowControl/>
              <w:jc w:val="left"/>
              <w:rPr>
                <w:rFonts w:ascii="仿宋" w:hAnsi="仿宋" w:eastAsia="仿宋"/>
                <w:sz w:val="20"/>
                <w:szCs w:val="20"/>
              </w:rPr>
            </w:pPr>
            <w:r>
              <w:rPr>
                <w:rFonts w:ascii="仿宋" w:hAnsi="仿宋" w:eastAsia="仿宋"/>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hint="eastAsia" w:ascii="仿宋" w:hAnsi="仿宋" w:eastAsia="仿宋"/>
                <w:sz w:val="24"/>
                <w:lang w:eastAsia="zh-CN"/>
              </w:rPr>
            </w:pPr>
            <w:r>
              <w:rPr>
                <w:rFonts w:hint="eastAsia" w:ascii="仿宋" w:hAnsi="仿宋" w:eastAsia="仿宋"/>
                <w:sz w:val="24"/>
                <w:lang w:val="en-US" w:eastAsia="zh-CN"/>
              </w:rPr>
              <w:t>6</w:t>
            </w:r>
          </w:p>
        </w:tc>
      </w:tr>
    </w:tbl>
    <w:p>
      <w:pPr>
        <w:spacing w:line="560" w:lineRule="exact"/>
        <w:rPr>
          <w:rFonts w:ascii="仿宋" w:hAnsi="仿宋" w:eastAsia="仿宋"/>
          <w:sz w:val="28"/>
          <w:szCs w:val="28"/>
        </w:rPr>
      </w:pPr>
      <w:r>
        <w:rPr>
          <w:rFonts w:ascii="仿宋" w:hAnsi="仿宋" w:eastAsia="仿宋"/>
        </w:rPr>
        <w:br w:type="page"/>
      </w:r>
      <w:r>
        <w:rPr>
          <w:rFonts w:ascii="仿宋" w:hAnsi="仿宋" w:eastAsia="仿宋"/>
          <w:sz w:val="32"/>
          <w:szCs w:val="32"/>
        </w:rPr>
        <w:t>附件</w:t>
      </w:r>
      <w:r>
        <w:rPr>
          <w:rFonts w:hint="eastAsia" w:ascii="仿宋" w:hAnsi="仿宋" w:eastAsia="仿宋"/>
          <w:sz w:val="32"/>
          <w:szCs w:val="32"/>
        </w:rPr>
        <w:t>2</w:t>
      </w:r>
    </w:p>
    <w:p>
      <w:pPr>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tbl>
      <w:tblPr>
        <w:tblStyle w:val="6"/>
        <w:tblW w:w="10339" w:type="dxa"/>
        <w:jc w:val="center"/>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b/>
                <w:bCs/>
                <w:color w:val="auto"/>
                <w:sz w:val="24"/>
                <w:lang w:val="en-US" w:eastAsia="zh-CN"/>
              </w:rPr>
            </w:pPr>
            <w:r>
              <w:rPr>
                <w:rFonts w:hint="eastAsia" w:ascii="仿宋" w:hAnsi="仿宋" w:eastAsia="仿宋"/>
                <w:b/>
                <w:bCs/>
                <w:color w:val="auto"/>
                <w:sz w:val="24"/>
                <w:lang w:val="en-US" w:eastAsia="zh-CN"/>
              </w:rPr>
              <w:t>2872</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b/>
                <w:bCs/>
                <w:color w:val="auto"/>
                <w:sz w:val="24"/>
                <w:lang w:val="en-US" w:eastAsia="zh-CN"/>
              </w:rPr>
            </w:pPr>
            <w:r>
              <w:rPr>
                <w:rFonts w:hint="eastAsia" w:ascii="仿宋" w:hAnsi="仿宋" w:eastAsia="仿宋"/>
                <w:b/>
                <w:bCs/>
                <w:color w:val="auto"/>
                <w:sz w:val="24"/>
                <w:lang w:val="en-US" w:eastAsia="zh-CN"/>
              </w:rPr>
              <w:t>2872</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100%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21</w:t>
            </w:r>
            <w:r>
              <w:rPr>
                <w:rFonts w:ascii="仿宋" w:hAnsi="仿宋" w:eastAsia="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21</w:t>
            </w:r>
            <w:r>
              <w:rPr>
                <w:rFonts w:ascii="仿宋" w:hAnsi="仿宋" w:eastAsia="仿宋"/>
                <w:b/>
                <w:bCs/>
                <w:sz w:val="24"/>
              </w:rPr>
              <w:t>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84.28</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rPr>
            </w:pPr>
            <w:r>
              <w:rPr>
                <w:rFonts w:hint="eastAsia" w:ascii="仿宋" w:hAnsi="仿宋" w:eastAsia="仿宋"/>
                <w:sz w:val="24"/>
                <w:lang w:val="en-US" w:eastAsia="zh-CN"/>
              </w:rPr>
              <w:t>78</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68.62</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bookmarkStart w:id="0" w:name="_GoBack"/>
            <w:bookmarkEnd w:id="0"/>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84.28</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rPr>
            </w:pPr>
            <w:r>
              <w:rPr>
                <w:rFonts w:hint="eastAsia" w:ascii="仿宋" w:hAnsi="仿宋" w:eastAsia="仿宋"/>
                <w:sz w:val="24"/>
                <w:lang w:val="en-US" w:eastAsia="zh-CN"/>
              </w:rPr>
              <w:t>78</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rPr>
            </w:pPr>
            <w:r>
              <w:rPr>
                <w:rFonts w:hint="eastAsia" w:ascii="仿宋" w:hAnsi="仿宋" w:eastAsia="仿宋"/>
                <w:sz w:val="24"/>
                <w:lang w:val="en-US" w:eastAsia="zh-CN"/>
              </w:rPr>
              <w:t>68.62</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534"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4166.75</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3835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3145.97</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1520.55</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1350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1205.87</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586.38</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550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513.41</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150.72</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120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79.22</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eastAsia="zh-CN"/>
              </w:rPr>
            </w:pPr>
            <w:r>
              <w:rPr>
                <w:rFonts w:ascii="仿宋" w:hAnsi="仿宋" w:eastAsia="仿宋"/>
                <w:sz w:val="24"/>
              </w:rPr>
              <w:t>楼堂馆所控制情况</w:t>
            </w:r>
          </w:p>
          <w:p>
            <w:pPr>
              <w:widowControl/>
              <w:jc w:val="center"/>
              <w:rPr>
                <w:rFonts w:ascii="仿宋" w:hAnsi="仿宋" w:eastAsia="仿宋"/>
                <w:sz w:val="24"/>
              </w:rPr>
            </w:pPr>
            <w:r>
              <w:rPr>
                <w:rFonts w:ascii="仿宋" w:hAnsi="仿宋" w:eastAsia="仿宋"/>
                <w:sz w:val="24"/>
              </w:rPr>
              <w:t>（20</w:t>
            </w:r>
            <w:r>
              <w:rPr>
                <w:rFonts w:hint="eastAsia" w:ascii="仿宋" w:hAnsi="仿宋" w:eastAsia="仿宋"/>
                <w:sz w:val="24"/>
                <w:lang w:val="en-US" w:eastAsia="zh-CN"/>
              </w:rPr>
              <w:t>20</w:t>
            </w:r>
            <w:r>
              <w:rPr>
                <w:rFonts w:ascii="仿宋" w:hAnsi="仿宋" w:eastAsia="仿宋"/>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b/>
                <w:bCs/>
                <w:sz w:val="24"/>
                <w:lang w:eastAsia="zh-CN"/>
              </w:rPr>
            </w:pPr>
            <w:r>
              <w:rPr>
                <w:rFonts w:ascii="仿宋" w:hAnsi="仿宋" w:eastAsia="仿宋"/>
                <w:b/>
                <w:bCs/>
                <w:sz w:val="24"/>
              </w:rPr>
              <w:t>批复规模</w:t>
            </w:r>
          </w:p>
          <w:p>
            <w:pPr>
              <w:widowControl/>
              <w:jc w:val="center"/>
              <w:rPr>
                <w:rFonts w:ascii="仿宋" w:hAnsi="仿宋" w:eastAsia="仿宋"/>
                <w:b/>
                <w:bCs/>
                <w:sz w:val="24"/>
              </w:rPr>
            </w:pPr>
            <w:r>
              <w:rPr>
                <w:rFonts w:ascii="仿宋" w:hAnsi="仿宋" w:eastAsia="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bl>
    <w:p>
      <w:pPr>
        <w:widowControl/>
        <w:jc w:val="left"/>
        <w:rPr>
          <w:rFonts w:ascii="仿宋" w:hAnsi="仿宋" w:eastAsia="仿宋"/>
          <w:sz w:val="22"/>
          <w:szCs w:val="22"/>
        </w:rPr>
      </w:pPr>
      <w:r>
        <w:rPr>
          <w:rFonts w:ascii="仿宋" w:hAnsi="仿宋" w:eastAsia="仿宋"/>
          <w:sz w:val="22"/>
          <w:szCs w:val="22"/>
        </w:rPr>
        <w:t>说明：“项目支出”需要填报除专项资金和基本支出以外的所有项目情况，包括业务工作项</w:t>
      </w:r>
    </w:p>
    <w:p>
      <w:pPr>
        <w:widowControl/>
        <w:ind w:firstLine="660"/>
        <w:jc w:val="left"/>
        <w:rPr>
          <w:rFonts w:ascii="仿宋" w:hAnsi="仿宋" w:eastAsia="仿宋"/>
          <w:sz w:val="22"/>
          <w:szCs w:val="22"/>
        </w:rPr>
      </w:pPr>
      <w:r>
        <w:rPr>
          <w:rFonts w:ascii="仿宋" w:hAnsi="仿宋" w:eastAsia="仿宋"/>
          <w:sz w:val="22"/>
          <w:szCs w:val="22"/>
        </w:rPr>
        <w:t>目、运行维护项目等；“公用经费”填报基本支出中的一般商品和服务支出。</w:t>
      </w:r>
    </w:p>
    <w:p>
      <w:pPr>
        <w:spacing w:line="600" w:lineRule="exact"/>
        <w:rPr>
          <w:rFonts w:ascii="仿宋" w:hAnsi="仿宋" w:eastAsia="仿宋"/>
        </w:rPr>
      </w:pPr>
    </w:p>
    <w:p>
      <w:pPr>
        <w:spacing w:line="580" w:lineRule="exact"/>
        <w:rPr>
          <w:rFonts w:ascii="仿宋" w:hAnsi="仿宋" w:eastAsia="仿宋"/>
          <w:sz w:val="32"/>
          <w:szCs w:val="32"/>
        </w:rPr>
      </w:pPr>
    </w:p>
    <w:p>
      <w:pPr>
        <w:spacing w:line="500" w:lineRule="exact"/>
        <w:rPr>
          <w:rFonts w:ascii="仿宋" w:hAnsi="仿宋" w:eastAsia="仿宋"/>
          <w:sz w:val="32"/>
          <w:szCs w:val="32"/>
        </w:rPr>
      </w:pPr>
    </w:p>
    <w:p/>
    <w:p/>
    <w:p>
      <w:pPr>
        <w:widowControl/>
        <w:ind w:left="93"/>
        <w:jc w:val="left"/>
        <w:rPr>
          <w:rFonts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6"/>
        <w:tblW w:w="10047" w:type="dxa"/>
        <w:jc w:val="center"/>
        <w:tblLayout w:type="fixed"/>
        <w:tblCellMar>
          <w:top w:w="0" w:type="dxa"/>
          <w:left w:w="10" w:type="dxa"/>
          <w:bottom w:w="0" w:type="dxa"/>
          <w:right w:w="10" w:type="dxa"/>
        </w:tblCellMar>
      </w:tblPr>
      <w:tblGrid>
        <w:gridCol w:w="740"/>
        <w:gridCol w:w="804"/>
        <w:gridCol w:w="1056"/>
        <w:gridCol w:w="2465"/>
        <w:gridCol w:w="4364"/>
        <w:gridCol w:w="618"/>
      </w:tblGrid>
      <w:tr>
        <w:tblPrEx>
          <w:tblCellMar>
            <w:top w:w="0" w:type="dxa"/>
            <w:left w:w="10" w:type="dxa"/>
            <w:bottom w:w="0" w:type="dxa"/>
            <w:right w:w="10" w:type="dxa"/>
          </w:tblCellMar>
        </w:tblPrEx>
        <w:trPr>
          <w:trHeight w:val="248" w:hRule="atLeast"/>
          <w:tblHeader/>
          <w:jc w:val="center"/>
        </w:trPr>
        <w:tc>
          <w:tcPr>
            <w:tcW w:w="740"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CellMar>
            <w:top w:w="0" w:type="dxa"/>
            <w:left w:w="10" w:type="dxa"/>
            <w:bottom w:w="0" w:type="dxa"/>
            <w:right w:w="10" w:type="dxa"/>
          </w:tblCellMar>
        </w:tblPrEx>
        <w:trPr>
          <w:trHeight w:val="380" w:hRule="atLeast"/>
          <w:tblHeader/>
          <w:jc w:val="center"/>
        </w:trPr>
        <w:tc>
          <w:tcPr>
            <w:tcW w:w="74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3</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ind w:firstLine="240" w:firstLineChars="100"/>
              <w:rPr>
                <w:rFonts w:ascii="仿宋" w:eastAsia="仿宋"/>
                <w:sz w:val="24"/>
                <w:szCs w:val="24"/>
              </w:rPr>
            </w:pPr>
            <w:r>
              <w:rPr>
                <w:rFonts w:hint="eastAsia" w:ascii="仿宋" w:eastAsia="仿宋"/>
                <w:sz w:val="24"/>
                <w:szCs w:val="24"/>
              </w:rPr>
              <w:t>3</w:t>
            </w:r>
          </w:p>
        </w:tc>
      </w:tr>
      <w:tr>
        <w:tblPrEx>
          <w:tblCellMar>
            <w:top w:w="0" w:type="dxa"/>
            <w:left w:w="10" w:type="dxa"/>
            <w:bottom w:w="0" w:type="dxa"/>
            <w:right w:w="10" w:type="dxa"/>
          </w:tblCellMar>
        </w:tblPrEx>
        <w:trPr>
          <w:trHeight w:val="764"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trHeight w:val="254" w:hRule="atLeast"/>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5 </w:t>
            </w:r>
          </w:p>
        </w:tc>
      </w:tr>
      <w:tr>
        <w:tblPrEx>
          <w:tblCellMar>
            <w:top w:w="0" w:type="dxa"/>
            <w:left w:w="10" w:type="dxa"/>
            <w:bottom w:w="0" w:type="dxa"/>
            <w:right w:w="10" w:type="dxa"/>
          </w:tblCellMar>
        </w:tblPrEx>
        <w:trPr>
          <w:trHeight w:val="836"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trHeight w:val="463"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10</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9</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 xml:space="preserve"> 8</w:t>
            </w:r>
          </w:p>
        </w:tc>
      </w:tr>
      <w:tr>
        <w:tblPrEx>
          <w:tblCellMar>
            <w:top w:w="0" w:type="dxa"/>
            <w:left w:w="10" w:type="dxa"/>
            <w:bottom w:w="0" w:type="dxa"/>
            <w:right w:w="10" w:type="dxa"/>
          </w:tblCellMar>
        </w:tblPrEx>
        <w:trPr>
          <w:trHeight w:val="707"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ind w:firstLine="240" w:firstLineChars="100"/>
              <w:jc w:val="left"/>
              <w:rPr>
                <w:rFonts w:hint="eastAsia" w:ascii="仿宋" w:eastAsia="仿宋"/>
                <w:sz w:val="24"/>
                <w:szCs w:val="24"/>
                <w:lang w:eastAsia="zh-CN"/>
              </w:rPr>
            </w:pPr>
            <w:r>
              <w:rPr>
                <w:rFonts w:hint="eastAsia" w:ascii="仿宋" w:eastAsia="仿宋"/>
                <w:sz w:val="24"/>
                <w:szCs w:val="24"/>
                <w:lang w:val="en-US" w:eastAsia="zh-CN"/>
              </w:rPr>
              <w:t>6</w:t>
            </w:r>
          </w:p>
        </w:tc>
      </w:tr>
      <w:tr>
        <w:tblPrEx>
          <w:tblCellMar>
            <w:top w:w="0" w:type="dxa"/>
            <w:left w:w="10" w:type="dxa"/>
            <w:bottom w:w="0" w:type="dxa"/>
            <w:right w:w="10" w:type="dxa"/>
          </w:tblCellMar>
        </w:tblPrEx>
        <w:trPr>
          <w:trHeight w:val="641"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ind w:firstLine="240" w:firstLineChars="100"/>
              <w:jc w:val="left"/>
              <w:rPr>
                <w:rFonts w:hint="default" w:ascii="仿宋" w:eastAsia="仿宋"/>
                <w:sz w:val="24"/>
                <w:szCs w:val="24"/>
                <w:lang w:val="en-US" w:eastAsia="zh-CN"/>
              </w:rPr>
            </w:pPr>
            <w:r>
              <w:rPr>
                <w:rFonts w:hint="eastAsia" w:ascii="仿宋" w:eastAsia="仿宋"/>
                <w:sz w:val="24"/>
                <w:szCs w:val="24"/>
                <w:lang w:val="en-US" w:eastAsia="zh-CN"/>
              </w:rPr>
              <w:t>10</w:t>
            </w:r>
          </w:p>
        </w:tc>
      </w:tr>
      <w:tr>
        <w:tblPrEx>
          <w:tblCellMar>
            <w:top w:w="0" w:type="dxa"/>
            <w:left w:w="10" w:type="dxa"/>
            <w:bottom w:w="0" w:type="dxa"/>
            <w:right w:w="10" w:type="dxa"/>
          </w:tblCellMar>
        </w:tblPrEx>
        <w:trPr>
          <w:trHeight w:val="1121" w:hRule="exac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ind w:firstLine="240" w:firstLineChars="100"/>
              <w:jc w:val="left"/>
              <w:rPr>
                <w:rFonts w:ascii="仿宋" w:eastAsia="仿宋"/>
                <w:sz w:val="24"/>
                <w:szCs w:val="24"/>
              </w:rPr>
            </w:pPr>
            <w:r>
              <w:rPr>
                <w:rFonts w:hint="eastAsia" w:ascii="仿宋" w:eastAsia="仿宋"/>
                <w:sz w:val="24"/>
                <w:szCs w:val="24"/>
              </w:rPr>
              <w:t>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hint="eastAsia"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宋体"/>
                <w:lang w:val="en-US" w:eastAsia="zh-CN"/>
              </w:rPr>
            </w:pPr>
            <w:r>
              <w:rPr>
                <w:rFonts w:hint="eastAsia"/>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宋体"/>
                <w:lang w:val="en-US" w:eastAsia="zh-CN"/>
              </w:rPr>
            </w:pPr>
            <w:r>
              <w:rPr>
                <w:rFonts w:hint="eastAsia"/>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4</w:t>
            </w:r>
          </w:p>
        </w:tc>
      </w:tr>
    </w:tbl>
    <w:p>
      <w:pPr>
        <w:spacing w:line="560" w:lineRule="exact"/>
        <w:rPr>
          <w:rFonts w:hint="eastAsia" w:ascii="仿宋" w:hAnsi="仿宋" w:eastAsia="仿宋"/>
          <w:sz w:val="32"/>
          <w:szCs w:val="32"/>
          <w:lang w:eastAsia="zh-CN"/>
        </w:rPr>
      </w:pPr>
      <w:r>
        <w:rPr>
          <w:rFonts w:ascii="仿宋" w:hAnsi="仿宋" w:eastAsia="仿宋"/>
          <w:sz w:val="32"/>
          <w:szCs w:val="32"/>
        </w:rPr>
        <w:t>附件</w:t>
      </w:r>
      <w:r>
        <w:rPr>
          <w:rFonts w:hint="eastAsia" w:ascii="仿宋" w:hAnsi="仿宋" w:eastAsia="仿宋"/>
          <w:sz w:val="32"/>
          <w:szCs w:val="32"/>
          <w:lang w:val="en-US" w:eastAsia="zh-CN"/>
        </w:rPr>
        <w:t>4</w:t>
      </w:r>
    </w:p>
    <w:p>
      <w:pPr>
        <w:jc w:val="center"/>
        <w:rPr>
          <w:rFonts w:hint="eastAsia" w:ascii="方正小标宋简体" w:hAnsi="方正小标宋简体" w:eastAsia="方正小标宋简体" w:cs="方正小标宋简体"/>
          <w:b/>
          <w:bCs/>
          <w:sz w:val="40"/>
          <w:szCs w:val="40"/>
        </w:rPr>
      </w:pPr>
    </w:p>
    <w:p>
      <w:pPr>
        <w:jc w:val="center"/>
        <w:rPr>
          <w:rFonts w:hint="eastAsia" w:ascii="仿宋" w:hAnsi="仿宋" w:eastAsia="仿宋" w:cs="仿宋"/>
          <w:b/>
          <w:bCs/>
          <w:sz w:val="40"/>
          <w:szCs w:val="40"/>
        </w:rPr>
      </w:pPr>
      <w:r>
        <w:rPr>
          <w:rFonts w:hint="eastAsia" w:ascii="仿宋" w:hAnsi="仿宋" w:eastAsia="仿宋" w:cs="仿宋"/>
          <w:b/>
          <w:bCs/>
          <w:sz w:val="40"/>
          <w:szCs w:val="40"/>
        </w:rPr>
        <w:t>20</w:t>
      </w:r>
      <w:r>
        <w:rPr>
          <w:rFonts w:hint="eastAsia" w:ascii="仿宋" w:hAnsi="仿宋" w:eastAsia="仿宋" w:cs="仿宋"/>
          <w:b/>
          <w:bCs/>
          <w:sz w:val="40"/>
          <w:szCs w:val="40"/>
          <w:lang w:val="en-US" w:eastAsia="zh-CN"/>
        </w:rPr>
        <w:t>21</w:t>
      </w:r>
      <w:r>
        <w:rPr>
          <w:rFonts w:hint="eastAsia" w:ascii="仿宋" w:hAnsi="仿宋" w:eastAsia="仿宋" w:cs="仿宋"/>
          <w:b/>
          <w:bCs/>
          <w:sz w:val="40"/>
          <w:szCs w:val="40"/>
        </w:rPr>
        <w:t>年度县</w:t>
      </w:r>
      <w:r>
        <w:rPr>
          <w:rFonts w:hint="eastAsia" w:ascii="仿宋" w:hAnsi="仿宋" w:eastAsia="仿宋" w:cs="仿宋"/>
          <w:b/>
          <w:bCs/>
          <w:sz w:val="40"/>
          <w:szCs w:val="40"/>
          <w:lang w:eastAsia="zh-CN"/>
        </w:rPr>
        <w:t>教育系统各中小学（幼儿园）</w:t>
      </w:r>
      <w:r>
        <w:rPr>
          <w:rFonts w:hint="eastAsia" w:ascii="仿宋" w:hAnsi="仿宋" w:eastAsia="仿宋" w:cs="仿宋"/>
          <w:b/>
          <w:bCs/>
          <w:sz w:val="40"/>
          <w:szCs w:val="40"/>
        </w:rPr>
        <w:t>整体支出</w:t>
      </w:r>
    </w:p>
    <w:p>
      <w:pPr>
        <w:jc w:val="center"/>
        <w:rPr>
          <w:rFonts w:hint="eastAsia" w:ascii="仿宋" w:hAnsi="仿宋" w:eastAsia="仿宋" w:cs="仿宋"/>
          <w:sz w:val="32"/>
          <w:szCs w:val="32"/>
        </w:rPr>
      </w:pPr>
      <w:r>
        <w:rPr>
          <w:rFonts w:hint="eastAsia" w:ascii="仿宋" w:hAnsi="仿宋" w:eastAsia="仿宋" w:cs="仿宋"/>
          <w:b/>
          <w:bCs/>
          <w:sz w:val="40"/>
          <w:szCs w:val="40"/>
        </w:rPr>
        <w:t>绩效自评报告</w:t>
      </w:r>
      <w:r>
        <w:rPr>
          <w:rFonts w:hint="eastAsia" w:ascii="仿宋" w:hAnsi="仿宋" w:eastAsia="仿宋" w:cs="仿宋"/>
          <w:sz w:val="32"/>
          <w:szCs w:val="32"/>
        </w:rPr>
        <w:t xml:space="preserve"> </w:t>
      </w:r>
    </w:p>
    <w:p>
      <w:pPr>
        <w:jc w:val="center"/>
        <w:rPr>
          <w:rFonts w:ascii="仿宋_GB2312" w:hAnsi="仿宋_GB2312" w:eastAsia="仿宋_GB2312" w:cs="仿宋_GB2312"/>
          <w:sz w:val="32"/>
          <w:szCs w:val="32"/>
        </w:rPr>
      </w:pPr>
    </w:p>
    <w:p>
      <w:pPr>
        <w:widowControl/>
        <w:numPr>
          <w:ilvl w:val="0"/>
          <w:numId w:val="1"/>
        </w:numPr>
        <w:spacing w:line="520" w:lineRule="exact"/>
        <w:jc w:val="left"/>
        <w:rPr>
          <w:rFonts w:hint="eastAsia" w:ascii="仿宋" w:hAnsi="仿宋" w:eastAsia="仿宋" w:cs="仿宋"/>
          <w:b/>
          <w:bCs/>
          <w:sz w:val="32"/>
          <w:szCs w:val="32"/>
        </w:rPr>
      </w:pPr>
      <w:r>
        <w:rPr>
          <w:rFonts w:hint="eastAsia" w:ascii="仿宋" w:hAnsi="仿宋" w:eastAsia="仿宋" w:cs="仿宋"/>
          <w:b/>
          <w:bCs/>
          <w:sz w:val="32"/>
          <w:szCs w:val="32"/>
        </w:rPr>
        <w:t>机构编制人员情况</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b/>
          <w:bCs/>
          <w:color w:val="auto"/>
          <w:sz w:val="32"/>
          <w:szCs w:val="32"/>
        </w:rPr>
      </w:pPr>
      <w:r>
        <w:rPr>
          <w:rFonts w:hint="eastAsia" w:ascii="仿宋" w:hAnsi="仿宋" w:eastAsia="仿宋" w:cs="仿宋"/>
          <w:kern w:val="1"/>
          <w:sz w:val="32"/>
          <w:szCs w:val="32"/>
          <w:lang w:val="zh-CN"/>
        </w:rPr>
        <w:t>教育系统各中小学（幼儿园）为全额拨款事业单位，其中高级中学1所，完全中学1所，职业中学1所、初级中学15所、小学2</w:t>
      </w:r>
      <w:r>
        <w:rPr>
          <w:rFonts w:hint="eastAsia" w:ascii="仿宋" w:hAnsi="仿宋" w:eastAsia="仿宋" w:cs="仿宋"/>
          <w:kern w:val="1"/>
          <w:sz w:val="32"/>
          <w:szCs w:val="32"/>
          <w:lang w:val="en-US" w:eastAsia="zh-CN"/>
        </w:rPr>
        <w:t>2</w:t>
      </w:r>
      <w:r>
        <w:rPr>
          <w:rFonts w:hint="eastAsia" w:ascii="仿宋" w:hAnsi="仿宋" w:eastAsia="仿宋" w:cs="仿宋"/>
          <w:kern w:val="1"/>
          <w:sz w:val="32"/>
          <w:szCs w:val="32"/>
          <w:lang w:val="zh-CN"/>
        </w:rPr>
        <w:t>所、九年一贯制学校</w:t>
      </w:r>
      <w:r>
        <w:rPr>
          <w:rFonts w:hint="eastAsia" w:ascii="仿宋" w:hAnsi="仿宋" w:eastAsia="仿宋" w:cs="仿宋"/>
          <w:kern w:val="1"/>
          <w:sz w:val="32"/>
          <w:szCs w:val="32"/>
          <w:lang w:val="en-US" w:eastAsia="zh-CN"/>
        </w:rPr>
        <w:t>7</w:t>
      </w:r>
      <w:r>
        <w:rPr>
          <w:rFonts w:hint="eastAsia" w:ascii="仿宋" w:hAnsi="仿宋" w:eastAsia="仿宋" w:cs="仿宋"/>
          <w:kern w:val="1"/>
          <w:sz w:val="32"/>
          <w:szCs w:val="32"/>
          <w:lang w:val="zh-CN"/>
        </w:rPr>
        <w:t>所、特殊教育学校1所、公办幼儿园2</w:t>
      </w:r>
      <w:r>
        <w:rPr>
          <w:rFonts w:hint="eastAsia" w:ascii="仿宋" w:hAnsi="仿宋" w:eastAsia="仿宋" w:cs="仿宋"/>
          <w:kern w:val="1"/>
          <w:sz w:val="32"/>
          <w:szCs w:val="32"/>
          <w:lang w:val="en-US" w:eastAsia="zh-CN"/>
        </w:rPr>
        <w:t>3</w:t>
      </w:r>
      <w:r>
        <w:rPr>
          <w:rFonts w:hint="eastAsia" w:ascii="仿宋" w:hAnsi="仿宋" w:eastAsia="仿宋" w:cs="仿宋"/>
          <w:kern w:val="1"/>
          <w:sz w:val="32"/>
          <w:szCs w:val="32"/>
          <w:lang w:val="zh-CN"/>
        </w:rPr>
        <w:t>所、教师发展中心1所、水上运动学校1所。财政核定人数</w:t>
      </w:r>
      <w:r>
        <w:rPr>
          <w:rFonts w:hint="eastAsia" w:ascii="仿宋" w:hAnsi="仿宋" w:eastAsia="仿宋" w:cs="仿宋"/>
          <w:kern w:val="1"/>
          <w:sz w:val="32"/>
          <w:szCs w:val="32"/>
          <w:lang w:val="en-US" w:eastAsia="zh-CN"/>
        </w:rPr>
        <w:t>2872</w:t>
      </w:r>
      <w:r>
        <w:rPr>
          <w:rFonts w:hint="eastAsia" w:ascii="仿宋" w:hAnsi="仿宋" w:eastAsia="仿宋" w:cs="仿宋"/>
          <w:kern w:val="1"/>
          <w:sz w:val="32"/>
          <w:szCs w:val="32"/>
          <w:lang w:val="zh-CN"/>
        </w:rPr>
        <w:t>人，其中，幼儿教师</w:t>
      </w:r>
      <w:r>
        <w:rPr>
          <w:rFonts w:hint="eastAsia" w:ascii="仿宋" w:hAnsi="仿宋" w:eastAsia="仿宋" w:cs="仿宋"/>
          <w:kern w:val="1"/>
          <w:sz w:val="32"/>
          <w:szCs w:val="32"/>
          <w:lang w:val="en-US" w:eastAsia="zh-CN"/>
        </w:rPr>
        <w:t>44</w:t>
      </w:r>
      <w:r>
        <w:rPr>
          <w:rFonts w:hint="eastAsia" w:ascii="仿宋" w:hAnsi="仿宋" w:eastAsia="仿宋" w:cs="仿宋"/>
          <w:kern w:val="1"/>
          <w:sz w:val="32"/>
          <w:szCs w:val="32"/>
          <w:lang w:val="zh-CN"/>
        </w:rPr>
        <w:t>人，小学教师</w:t>
      </w:r>
      <w:r>
        <w:rPr>
          <w:rFonts w:hint="eastAsia" w:ascii="仿宋" w:hAnsi="仿宋" w:eastAsia="仿宋" w:cs="仿宋"/>
          <w:kern w:val="1"/>
          <w:sz w:val="32"/>
          <w:szCs w:val="32"/>
          <w:lang w:val="en-US" w:eastAsia="zh-CN"/>
        </w:rPr>
        <w:t>1443</w:t>
      </w:r>
      <w:r>
        <w:rPr>
          <w:rFonts w:hint="eastAsia" w:ascii="仿宋" w:hAnsi="仿宋" w:eastAsia="仿宋" w:cs="仿宋"/>
          <w:kern w:val="1"/>
          <w:sz w:val="32"/>
          <w:szCs w:val="32"/>
          <w:lang w:val="zh-CN"/>
        </w:rPr>
        <w:t>人，</w:t>
      </w:r>
      <w:r>
        <w:rPr>
          <w:rFonts w:hint="eastAsia" w:ascii="仿宋" w:hAnsi="仿宋" w:eastAsia="仿宋" w:cs="仿宋"/>
          <w:color w:val="auto"/>
          <w:kern w:val="1"/>
          <w:sz w:val="32"/>
          <w:szCs w:val="32"/>
          <w:lang w:val="zh-CN"/>
        </w:rPr>
        <w:t>初中教师</w:t>
      </w:r>
      <w:r>
        <w:rPr>
          <w:rFonts w:hint="eastAsia" w:ascii="仿宋" w:hAnsi="仿宋" w:eastAsia="仿宋" w:cs="仿宋"/>
          <w:color w:val="auto"/>
          <w:kern w:val="1"/>
          <w:sz w:val="32"/>
          <w:szCs w:val="32"/>
          <w:lang w:val="en-US" w:eastAsia="zh-CN"/>
        </w:rPr>
        <w:t>731</w:t>
      </w:r>
      <w:r>
        <w:rPr>
          <w:rFonts w:hint="eastAsia" w:ascii="仿宋" w:hAnsi="仿宋" w:eastAsia="仿宋" w:cs="仿宋"/>
          <w:color w:val="auto"/>
          <w:kern w:val="1"/>
          <w:sz w:val="32"/>
          <w:szCs w:val="32"/>
          <w:lang w:val="zh-CN"/>
        </w:rPr>
        <w:t>人，高中教师</w:t>
      </w:r>
      <w:r>
        <w:rPr>
          <w:rFonts w:hint="eastAsia" w:ascii="仿宋" w:hAnsi="仿宋" w:eastAsia="仿宋" w:cs="仿宋"/>
          <w:color w:val="auto"/>
          <w:kern w:val="1"/>
          <w:sz w:val="32"/>
          <w:szCs w:val="32"/>
          <w:lang w:val="en-US" w:eastAsia="zh-CN"/>
        </w:rPr>
        <w:t>492人，职中教师116人，特殊教育18人，教师发展中心28人</w:t>
      </w:r>
      <w:r>
        <w:rPr>
          <w:rFonts w:hint="eastAsia" w:ascii="仿宋" w:hAnsi="仿宋" w:eastAsia="仿宋" w:cs="仿宋"/>
          <w:color w:val="auto"/>
          <w:kern w:val="1"/>
          <w:sz w:val="32"/>
          <w:szCs w:val="32"/>
          <w:lang w:val="zh-CN"/>
        </w:rPr>
        <w:t>。退休教师</w:t>
      </w:r>
      <w:r>
        <w:rPr>
          <w:rFonts w:hint="eastAsia" w:ascii="仿宋" w:hAnsi="仿宋" w:eastAsia="仿宋" w:cs="仿宋"/>
          <w:color w:val="auto"/>
          <w:kern w:val="1"/>
          <w:sz w:val="32"/>
          <w:szCs w:val="32"/>
          <w:lang w:val="en-US" w:eastAsia="zh-CN"/>
        </w:rPr>
        <w:t>1733</w:t>
      </w:r>
      <w:r>
        <w:rPr>
          <w:rFonts w:hint="eastAsia" w:ascii="仿宋" w:hAnsi="仿宋" w:eastAsia="仿宋" w:cs="仿宋"/>
          <w:color w:val="auto"/>
          <w:kern w:val="1"/>
          <w:sz w:val="32"/>
          <w:szCs w:val="32"/>
        </w:rPr>
        <w:t>人。</w:t>
      </w:r>
    </w:p>
    <w:p>
      <w:pPr>
        <w:widowControl/>
        <w:spacing w:line="520" w:lineRule="exact"/>
        <w:ind w:firstLine="643" w:firstLineChars="200"/>
        <w:jc w:val="left"/>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二、单位主要职能与年度绩效目标</w:t>
      </w:r>
    </w:p>
    <w:p>
      <w:pPr>
        <w:spacing w:line="520" w:lineRule="exact"/>
        <w:ind w:firstLine="640" w:firstLineChars="200"/>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学校主要职责有：</w:t>
      </w:r>
    </w:p>
    <w:p>
      <w:pPr>
        <w:spacing w:line="520" w:lineRule="exact"/>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lang w:val="zh-CN"/>
        </w:rPr>
        <w:t>1、贯彻执行四项基本原则和党的教育方针，以及其他各项方针、政策。</w:t>
      </w:r>
    </w:p>
    <w:p>
      <w:pPr>
        <w:spacing w:line="520" w:lineRule="exact"/>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lang w:val="zh-CN"/>
        </w:rPr>
        <w:t>2、坚持以教学为中心，努力提高教学质量，不断研究和改进教学方法，不断提高教学水平。</w:t>
      </w:r>
    </w:p>
    <w:p>
      <w:pPr>
        <w:spacing w:line="520" w:lineRule="exact"/>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lang w:val="zh-CN"/>
        </w:rPr>
        <w:t> 3、加强师资队伍建设，不断提高师资队伍素质。</w:t>
      </w:r>
    </w:p>
    <w:p>
      <w:pPr>
        <w:spacing w:line="520" w:lineRule="exact"/>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lang w:val="zh-CN"/>
        </w:rPr>
        <w:t>4、组织编制和实施学校的长期规划、年度计划和学期计划。</w:t>
      </w:r>
    </w:p>
    <w:p>
      <w:pPr>
        <w:spacing w:line="520" w:lineRule="exact"/>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lang w:val="zh-CN"/>
        </w:rPr>
        <w:t>5、组织领导招生、学生的入学和毕业鉴定工作。</w:t>
      </w:r>
    </w:p>
    <w:p>
      <w:pPr>
        <w:spacing w:line="520" w:lineRule="exact"/>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lang w:val="zh-CN"/>
        </w:rPr>
        <w:t> 6、组织做好教职工的培养、考核、奖惩、工资福利职称评定，以及退休、离休等工作。</w:t>
      </w:r>
    </w:p>
    <w:p>
      <w:pPr>
        <w:spacing w:line="520" w:lineRule="exact"/>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lang w:val="zh-CN"/>
        </w:rPr>
        <w:t>7、组织领导做好行政后勤工作，坚持为教学服务，不断改善师生员工的工作、学习、生活条件，保证教学工作的顺利进行。</w:t>
      </w:r>
    </w:p>
    <w:p>
      <w:pPr>
        <w:spacing w:line="520" w:lineRule="exact"/>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lang w:val="zh-CN"/>
        </w:rPr>
        <w:t>8、贯彻执行勤俭办校的方针，建立健全各项规章制度，加强对学校的管理。</w:t>
      </w:r>
    </w:p>
    <w:p>
      <w:pPr>
        <w:spacing w:line="520" w:lineRule="exact"/>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lang w:val="zh-CN"/>
        </w:rPr>
        <w:t>9、负责和指导学校教职工的思想政治工作，规划学校品德教育、体育卫生教育、艺术教育和国防教育工作；负责做好社会治安综合治理及安全保卫工作。</w:t>
      </w:r>
    </w:p>
    <w:p>
      <w:pPr>
        <w:spacing w:line="520" w:lineRule="exact"/>
        <w:rPr>
          <w:rFonts w:hint="eastAsia" w:ascii="仿宋" w:hAnsi="仿宋" w:eastAsia="仿宋" w:cs="仿宋"/>
          <w:color w:val="FF0000"/>
          <w:sz w:val="32"/>
          <w:szCs w:val="32"/>
          <w:lang w:val="zh-CN"/>
        </w:rPr>
      </w:pPr>
      <w:r>
        <w:rPr>
          <w:rFonts w:hint="eastAsia" w:ascii="仿宋" w:hAnsi="仿宋" w:eastAsia="仿宋" w:cs="仿宋"/>
          <w:kern w:val="1"/>
          <w:sz w:val="32"/>
          <w:szCs w:val="32"/>
          <w:lang w:val="zh-CN"/>
        </w:rPr>
        <w:t>  </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lang w:val="zh-CN"/>
        </w:rPr>
        <w:t>10、完成上级领导机关布置的其他任务。</w:t>
      </w:r>
    </w:p>
    <w:p>
      <w:pPr>
        <w:widowControl/>
        <w:spacing w:line="52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lang w:val="zh-CN"/>
        </w:rPr>
        <w:t>三、</w:t>
      </w: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年度整体支出及管理情况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年总收入</w:t>
      </w:r>
      <w:r>
        <w:rPr>
          <w:rFonts w:hint="eastAsia" w:ascii="仿宋" w:hAnsi="仿宋" w:eastAsia="仿宋" w:cs="仿宋"/>
          <w:sz w:val="32"/>
          <w:szCs w:val="32"/>
          <w:lang w:val="en-US" w:eastAsia="zh-CN"/>
        </w:rPr>
        <w:t>64832.78</w:t>
      </w:r>
      <w:r>
        <w:rPr>
          <w:rFonts w:hint="eastAsia" w:ascii="仿宋" w:hAnsi="仿宋" w:eastAsia="仿宋" w:cs="仿宋"/>
          <w:sz w:val="32"/>
          <w:szCs w:val="32"/>
        </w:rPr>
        <w:t>万元，其中年初预算安排</w:t>
      </w:r>
      <w:r>
        <w:rPr>
          <w:rFonts w:hint="eastAsia" w:ascii="仿宋" w:hAnsi="仿宋" w:eastAsia="仿宋" w:cs="仿宋"/>
          <w:sz w:val="32"/>
          <w:szCs w:val="32"/>
          <w:lang w:val="en-US" w:eastAsia="zh-CN"/>
        </w:rPr>
        <w:t>61556.83</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3275.95</w:t>
      </w:r>
      <w:r>
        <w:rPr>
          <w:rFonts w:hint="eastAsia" w:ascii="仿宋" w:hAnsi="仿宋" w:eastAsia="仿宋" w:cs="仿宋"/>
          <w:sz w:val="32"/>
          <w:szCs w:val="32"/>
        </w:rPr>
        <w:t>万元。实际总支出</w:t>
      </w:r>
      <w:r>
        <w:rPr>
          <w:rFonts w:hint="eastAsia" w:ascii="仿宋" w:hAnsi="仿宋" w:eastAsia="仿宋" w:cs="仿宋"/>
          <w:sz w:val="32"/>
          <w:szCs w:val="32"/>
          <w:lang w:val="en-US" w:eastAsia="zh-CN"/>
        </w:rPr>
        <w:t>64832.78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53688.31</w:t>
      </w:r>
      <w:r>
        <w:rPr>
          <w:rFonts w:hint="eastAsia" w:ascii="仿宋" w:hAnsi="仿宋" w:eastAsia="仿宋" w:cs="仿宋"/>
          <w:sz w:val="32"/>
          <w:szCs w:val="32"/>
        </w:rPr>
        <w:t>万元，占年初预算基本支出的</w:t>
      </w:r>
      <w:r>
        <w:rPr>
          <w:rFonts w:hint="eastAsia" w:ascii="仿宋" w:hAnsi="仿宋" w:eastAsia="仿宋" w:cs="仿宋"/>
          <w:sz w:val="32"/>
          <w:szCs w:val="32"/>
          <w:lang w:val="en-US" w:eastAsia="zh-CN"/>
        </w:rPr>
        <w:t>87.22</w:t>
      </w:r>
      <w:r>
        <w:rPr>
          <w:rFonts w:hint="eastAsia" w:ascii="仿宋" w:hAnsi="仿宋" w:eastAsia="仿宋" w:cs="仿宋"/>
          <w:sz w:val="32"/>
          <w:szCs w:val="32"/>
        </w:rPr>
        <w:t>%，占全年总支出的</w:t>
      </w:r>
      <w:r>
        <w:rPr>
          <w:rFonts w:hint="eastAsia" w:ascii="仿宋" w:hAnsi="仿宋" w:eastAsia="仿宋" w:cs="仿宋"/>
          <w:sz w:val="32"/>
          <w:szCs w:val="32"/>
          <w:lang w:val="en-US" w:eastAsia="zh-CN"/>
        </w:rPr>
        <w:t>82.81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11144.47</w:t>
      </w:r>
      <w:r>
        <w:rPr>
          <w:rFonts w:hint="eastAsia" w:ascii="仿宋" w:hAnsi="仿宋" w:eastAsia="仿宋" w:cs="仿宋"/>
          <w:sz w:val="32"/>
          <w:szCs w:val="32"/>
        </w:rPr>
        <w:t>万元，占全年总支出的</w:t>
      </w:r>
      <w:r>
        <w:rPr>
          <w:rFonts w:hint="eastAsia" w:ascii="仿宋" w:hAnsi="仿宋" w:eastAsia="仿宋" w:cs="仿宋"/>
          <w:sz w:val="32"/>
          <w:szCs w:val="32"/>
          <w:lang w:val="en-US" w:eastAsia="zh-CN"/>
        </w:rPr>
        <w:t>17.19</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年基本支出</w:t>
      </w:r>
      <w:r>
        <w:rPr>
          <w:rFonts w:hint="eastAsia" w:ascii="仿宋" w:hAnsi="仿宋" w:eastAsia="仿宋" w:cs="仿宋"/>
          <w:sz w:val="32"/>
          <w:szCs w:val="32"/>
          <w:lang w:val="en-US" w:eastAsia="zh-CN"/>
        </w:rPr>
        <w:t>53688.31</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82.81</w:t>
      </w:r>
      <w:r>
        <w:rPr>
          <w:rFonts w:hint="eastAsia" w:ascii="仿宋" w:hAnsi="仿宋" w:eastAsia="仿宋" w:cs="仿宋"/>
          <w:sz w:val="32"/>
          <w:szCs w:val="32"/>
        </w:rPr>
        <w:t>%；其中人员经费支出</w:t>
      </w:r>
      <w:r>
        <w:rPr>
          <w:rFonts w:hint="eastAsia" w:ascii="仿宋" w:hAnsi="仿宋" w:eastAsia="仿宋" w:cs="仿宋"/>
          <w:sz w:val="32"/>
          <w:szCs w:val="32"/>
          <w:lang w:val="en-US" w:eastAsia="zh-CN"/>
        </w:rPr>
        <w:t>50542.34</w:t>
      </w:r>
      <w:r>
        <w:rPr>
          <w:rFonts w:hint="eastAsia" w:ascii="仿宋" w:hAnsi="仿宋" w:eastAsia="仿宋" w:cs="仿宋"/>
          <w:sz w:val="32"/>
          <w:szCs w:val="32"/>
        </w:rPr>
        <w:t>元，占基本支出的</w:t>
      </w:r>
      <w:r>
        <w:rPr>
          <w:rFonts w:hint="eastAsia" w:ascii="仿宋" w:hAnsi="仿宋" w:eastAsia="仿宋" w:cs="仿宋"/>
          <w:sz w:val="32"/>
          <w:szCs w:val="32"/>
          <w:lang w:val="en-US" w:eastAsia="zh-CN"/>
        </w:rPr>
        <w:t>94.13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公用经费支出</w:t>
      </w:r>
      <w:r>
        <w:rPr>
          <w:rFonts w:hint="eastAsia" w:ascii="仿宋" w:hAnsi="仿宋" w:eastAsia="仿宋" w:cs="仿宋"/>
          <w:sz w:val="32"/>
          <w:szCs w:val="32"/>
          <w:lang w:val="en-US" w:eastAsia="zh-CN"/>
        </w:rPr>
        <w:t>3145.97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5.87</w:t>
      </w:r>
      <w:r>
        <w:rPr>
          <w:rFonts w:hint="eastAsia" w:ascii="仿宋" w:hAnsi="仿宋" w:eastAsia="仿宋" w:cs="仿宋"/>
          <w:sz w:val="32"/>
          <w:szCs w:val="32"/>
        </w:rPr>
        <w:t>%;具体包括：</w:t>
      </w:r>
    </w:p>
    <w:p>
      <w:pPr>
        <w:numPr>
          <w:ilvl w:val="0"/>
          <w:numId w:val="2"/>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工资福利支出</w:t>
      </w:r>
      <w:r>
        <w:rPr>
          <w:rFonts w:hint="eastAsia" w:ascii="仿宋" w:hAnsi="仿宋" w:eastAsia="仿宋" w:cs="仿宋"/>
          <w:sz w:val="32"/>
          <w:szCs w:val="32"/>
          <w:lang w:val="en-US" w:eastAsia="zh-CN"/>
        </w:rPr>
        <w:t>39220.02</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11322.32</w:t>
      </w:r>
      <w:r>
        <w:rPr>
          <w:rFonts w:hint="eastAsia" w:ascii="仿宋" w:hAnsi="仿宋" w:eastAsia="仿宋" w:cs="仿宋"/>
          <w:sz w:val="32"/>
          <w:szCs w:val="32"/>
        </w:rPr>
        <w:t>万元；</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3145.97</w:t>
      </w:r>
      <w:r>
        <w:rPr>
          <w:rFonts w:hint="eastAsia" w:ascii="仿宋" w:hAnsi="仿宋" w:eastAsia="仿宋" w:cs="仿宋"/>
          <w:sz w:val="32"/>
          <w:szCs w:val="32"/>
        </w:rPr>
        <w:t>万元（办公费</w:t>
      </w:r>
      <w:r>
        <w:rPr>
          <w:rFonts w:hint="eastAsia" w:ascii="仿宋" w:hAnsi="仿宋" w:eastAsia="仿宋" w:cs="仿宋"/>
          <w:sz w:val="32"/>
          <w:szCs w:val="32"/>
          <w:lang w:val="en-US" w:eastAsia="zh-CN"/>
        </w:rPr>
        <w:t>1205.87</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121.8</w:t>
      </w:r>
      <w:r>
        <w:rPr>
          <w:rFonts w:hint="eastAsia" w:ascii="仿宋" w:hAnsi="仿宋" w:eastAsia="仿宋" w:cs="仿宋"/>
          <w:sz w:val="32"/>
          <w:szCs w:val="32"/>
        </w:rPr>
        <w:t>万元、水费</w:t>
      </w:r>
      <w:r>
        <w:rPr>
          <w:rFonts w:hint="eastAsia" w:ascii="仿宋" w:hAnsi="仿宋" w:eastAsia="仿宋" w:cs="仿宋"/>
          <w:sz w:val="32"/>
          <w:szCs w:val="32"/>
          <w:lang w:val="en-US" w:eastAsia="zh-CN"/>
        </w:rPr>
        <w:t>123.65</w:t>
      </w:r>
      <w:r>
        <w:rPr>
          <w:rFonts w:hint="eastAsia" w:ascii="仿宋" w:hAnsi="仿宋" w:eastAsia="仿宋" w:cs="仿宋"/>
          <w:sz w:val="32"/>
          <w:szCs w:val="32"/>
        </w:rPr>
        <w:t>万元、电费</w:t>
      </w:r>
      <w:r>
        <w:rPr>
          <w:rFonts w:hint="eastAsia" w:ascii="仿宋" w:hAnsi="仿宋" w:eastAsia="仿宋" w:cs="仿宋"/>
          <w:sz w:val="32"/>
          <w:szCs w:val="32"/>
          <w:lang w:val="en-US" w:eastAsia="zh-CN"/>
        </w:rPr>
        <w:t>207.62</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182.14</w:t>
      </w:r>
      <w:r>
        <w:rPr>
          <w:rFonts w:hint="eastAsia" w:ascii="仿宋" w:hAnsi="仿宋" w:eastAsia="仿宋" w:cs="仿宋"/>
          <w:sz w:val="32"/>
          <w:szCs w:val="32"/>
        </w:rPr>
        <w:t>万元、维修（护）费</w:t>
      </w:r>
      <w:r>
        <w:rPr>
          <w:rFonts w:hint="eastAsia" w:ascii="仿宋" w:hAnsi="仿宋" w:eastAsia="仿宋" w:cs="仿宋"/>
          <w:sz w:val="32"/>
          <w:szCs w:val="32"/>
          <w:lang w:val="en-US" w:eastAsia="zh-CN"/>
        </w:rPr>
        <w:t>228.59</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79.22</w:t>
      </w:r>
      <w:r>
        <w:rPr>
          <w:rFonts w:hint="eastAsia" w:ascii="仿宋" w:hAnsi="仿宋" w:eastAsia="仿宋" w:cs="仿宋"/>
          <w:sz w:val="32"/>
          <w:szCs w:val="32"/>
        </w:rPr>
        <w:t>万元、公务招待费</w:t>
      </w:r>
      <w:r>
        <w:rPr>
          <w:rFonts w:hint="eastAsia" w:ascii="仿宋" w:hAnsi="仿宋" w:eastAsia="仿宋" w:cs="仿宋"/>
          <w:sz w:val="32"/>
          <w:szCs w:val="32"/>
          <w:lang w:val="en-US" w:eastAsia="zh-CN"/>
        </w:rPr>
        <w:t>68.64</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489.28</w:t>
      </w:r>
      <w:r>
        <w:rPr>
          <w:rFonts w:hint="eastAsia" w:ascii="仿宋" w:hAnsi="仿宋" w:eastAsia="仿宋" w:cs="仿宋"/>
          <w:sz w:val="32"/>
          <w:szCs w:val="32"/>
        </w:rPr>
        <w:t>万元、其他交通费用</w:t>
      </w:r>
      <w:r>
        <w:rPr>
          <w:rFonts w:hint="eastAsia" w:ascii="仿宋" w:hAnsi="仿宋" w:eastAsia="仿宋" w:cs="仿宋"/>
          <w:sz w:val="32"/>
          <w:szCs w:val="32"/>
          <w:lang w:val="en-US" w:eastAsia="zh-CN"/>
        </w:rPr>
        <w:t>82.55</w:t>
      </w:r>
      <w:r>
        <w:rPr>
          <w:rFonts w:hint="eastAsia" w:ascii="仿宋" w:hAnsi="仿宋" w:eastAsia="仿宋" w:cs="仿宋"/>
          <w:sz w:val="32"/>
          <w:szCs w:val="32"/>
        </w:rPr>
        <w:t>万元、其他商品和服务支出</w:t>
      </w:r>
      <w:r>
        <w:rPr>
          <w:rFonts w:hint="eastAsia" w:ascii="仿宋" w:hAnsi="仿宋" w:eastAsia="仿宋" w:cs="仿宋"/>
          <w:sz w:val="32"/>
          <w:szCs w:val="32"/>
          <w:lang w:val="en-US" w:eastAsia="zh-CN"/>
        </w:rPr>
        <w:t>356.61</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sz w:val="32"/>
          <w:szCs w:val="32"/>
        </w:rPr>
        <w:t>2、“三公”经费支出情况，“三公”经费年初预算</w:t>
      </w:r>
      <w:r>
        <w:rPr>
          <w:rFonts w:hint="eastAsia" w:ascii="仿宋" w:hAnsi="仿宋" w:eastAsia="仿宋" w:cs="仿宋"/>
          <w:sz w:val="32"/>
          <w:szCs w:val="32"/>
          <w:lang w:val="en-US" w:eastAsia="zh-CN"/>
        </w:rPr>
        <w:t>78</w:t>
      </w:r>
      <w:r>
        <w:rPr>
          <w:rFonts w:hint="eastAsia" w:ascii="仿宋" w:hAnsi="仿宋" w:eastAsia="仿宋" w:cs="仿宋"/>
          <w:color w:val="000000"/>
          <w:sz w:val="32"/>
          <w:szCs w:val="32"/>
        </w:rPr>
        <w:t>万</w:t>
      </w:r>
      <w:r>
        <w:rPr>
          <w:rFonts w:hint="eastAsia" w:ascii="仿宋" w:hAnsi="仿宋" w:eastAsia="仿宋" w:cs="仿宋"/>
          <w:sz w:val="32"/>
          <w:szCs w:val="32"/>
        </w:rPr>
        <w:t>元，其中公务接待费</w:t>
      </w:r>
      <w:r>
        <w:rPr>
          <w:rFonts w:hint="eastAsia" w:ascii="仿宋" w:hAnsi="仿宋" w:eastAsia="仿宋" w:cs="仿宋"/>
          <w:sz w:val="32"/>
          <w:szCs w:val="32"/>
          <w:lang w:val="en-US" w:eastAsia="zh-CN"/>
        </w:rPr>
        <w:t>78</w:t>
      </w:r>
      <w:r>
        <w:rPr>
          <w:rFonts w:hint="eastAsia" w:ascii="仿宋" w:hAnsi="仿宋" w:eastAsia="仿宋" w:cs="仿宋"/>
          <w:color w:val="000000"/>
          <w:sz w:val="32"/>
          <w:szCs w:val="32"/>
        </w:rPr>
        <w:t>万元</w:t>
      </w:r>
      <w:r>
        <w:rPr>
          <w:rFonts w:hint="eastAsia" w:ascii="仿宋" w:hAnsi="仿宋" w:eastAsia="仿宋" w:cs="仿宋"/>
          <w:sz w:val="32"/>
          <w:szCs w:val="32"/>
        </w:rPr>
        <w:t>。实际“三公”经费支出</w:t>
      </w:r>
      <w:r>
        <w:rPr>
          <w:rFonts w:hint="eastAsia" w:ascii="仿宋" w:hAnsi="仿宋" w:eastAsia="仿宋" w:cs="仿宋"/>
          <w:sz w:val="32"/>
          <w:szCs w:val="32"/>
          <w:lang w:val="en-US" w:eastAsia="zh-CN"/>
        </w:rPr>
        <w:t>68.64</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88</w:t>
      </w:r>
      <w:r>
        <w:rPr>
          <w:rFonts w:hint="eastAsia" w:ascii="仿宋" w:hAnsi="仿宋" w:eastAsia="仿宋" w:cs="仿宋"/>
          <w:color w:val="000000"/>
          <w:sz w:val="32"/>
          <w:szCs w:val="32"/>
        </w:rPr>
        <w:t>%，其中公务接待费</w:t>
      </w:r>
      <w:r>
        <w:rPr>
          <w:rFonts w:hint="eastAsia" w:ascii="仿宋" w:hAnsi="仿宋" w:eastAsia="仿宋" w:cs="仿宋"/>
          <w:color w:val="000000"/>
          <w:sz w:val="32"/>
          <w:szCs w:val="32"/>
          <w:lang w:val="en-US" w:eastAsia="zh-CN"/>
        </w:rPr>
        <w:t>68.64</w:t>
      </w:r>
      <w:r>
        <w:rPr>
          <w:rFonts w:hint="eastAsia" w:ascii="仿宋" w:hAnsi="仿宋" w:eastAsia="仿宋" w:cs="仿宋"/>
          <w:color w:val="000000"/>
          <w:sz w:val="32"/>
          <w:szCs w:val="32"/>
        </w:rPr>
        <w:t>万元，占年初预算的</w:t>
      </w:r>
      <w:r>
        <w:rPr>
          <w:rFonts w:hint="eastAsia" w:ascii="仿宋" w:hAnsi="仿宋" w:eastAsia="仿宋" w:cs="仿宋"/>
          <w:color w:val="000000"/>
          <w:sz w:val="32"/>
          <w:szCs w:val="32"/>
          <w:lang w:val="en-US" w:eastAsia="zh-CN"/>
        </w:rPr>
        <w:t>88</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sz w:val="32"/>
          <w:szCs w:val="32"/>
        </w:rPr>
        <w:t>、资金管理情况</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①财务管理坚持厉行节约、勤俭办事的方针，本局收入及支出全部纳入财务统一管理。严格按照财政部门制定的政策，执行“收支两条线”的规定。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②严格遵守预算管理制度，合理编制预算，严格按照批准的预算开支。</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③严格财务报账程序，国库集中支付核算办理报销事宜。</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④严格执行“三公”经费有关开支规定。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⑤支出严格执行国家有关财务规章制度规定的开支范围及开支标准；单位所有开支均实行审批制度，坚持做到先计划后审批再开支的原则。</w:t>
      </w:r>
    </w:p>
    <w:p>
      <w:pPr>
        <w:widowControl/>
        <w:numPr>
          <w:ilvl w:val="0"/>
          <w:numId w:val="3"/>
        </w:numPr>
        <w:spacing w:line="52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整体支出绩效目标完成情况</w:t>
      </w:r>
    </w:p>
    <w:p>
      <w:pPr>
        <w:ind w:firstLine="640"/>
        <w:rPr>
          <w:rFonts w:hint="eastAsia" w:ascii="仿宋" w:hAnsi="仿宋" w:eastAsia="仿宋" w:cs="仿宋"/>
          <w:b/>
          <w:bCs/>
          <w:sz w:val="30"/>
          <w:szCs w:val="30"/>
          <w:lang w:val="en-US" w:eastAsia="zh-CN"/>
        </w:rPr>
      </w:pPr>
      <w:r>
        <w:rPr>
          <w:rFonts w:hint="eastAsia" w:ascii="仿宋" w:hAnsi="仿宋" w:eastAsia="仿宋" w:cs="仿宋"/>
          <w:b/>
          <w:bCs/>
          <w:sz w:val="30"/>
          <w:szCs w:val="30"/>
        </w:rPr>
        <w:t xml:space="preserve">  </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21</w:t>
      </w:r>
      <w:r>
        <w:rPr>
          <w:rFonts w:hint="eastAsia" w:ascii="仿宋" w:hAnsi="仿宋" w:eastAsia="仿宋" w:cs="仿宋"/>
          <w:kern w:val="1"/>
          <w:sz w:val="32"/>
          <w:szCs w:val="32"/>
        </w:rPr>
        <w:t>年，在县委、县政府的正确领导下，</w:t>
      </w:r>
      <w:r>
        <w:rPr>
          <w:rFonts w:hint="eastAsia" w:ascii="仿宋" w:hAnsi="仿宋" w:eastAsia="仿宋" w:cs="仿宋"/>
          <w:kern w:val="1"/>
          <w:sz w:val="32"/>
          <w:szCs w:val="32"/>
          <w:lang w:eastAsia="zh-CN"/>
        </w:rPr>
        <w:t>教育系统各中小学（幼儿园）</w:t>
      </w:r>
      <w:r>
        <w:rPr>
          <w:rFonts w:hint="eastAsia" w:ascii="仿宋" w:hAnsi="仿宋" w:eastAsia="仿宋" w:cs="仿宋"/>
          <w:kern w:val="1"/>
          <w:sz w:val="32"/>
          <w:szCs w:val="32"/>
        </w:rPr>
        <w:t>认真贯彻落实县委经济工作会议精神，</w:t>
      </w:r>
      <w:r>
        <w:rPr>
          <w:rFonts w:hint="eastAsia" w:ascii="仿宋" w:hAnsi="仿宋" w:eastAsia="仿宋" w:cs="仿宋"/>
          <w:kern w:val="1"/>
          <w:sz w:val="32"/>
          <w:szCs w:val="32"/>
          <w:lang w:eastAsia="zh-CN"/>
        </w:rPr>
        <w:t>单位积极履职，强化管理，较好的完成了年度目标，加强预算收支管理，不断健全内部管理制度，部门整体支出管理水平得以提高，根据部门整体支出绩效评价指标体系，</w:t>
      </w:r>
      <w:r>
        <w:rPr>
          <w:rFonts w:hint="eastAsia" w:ascii="仿宋" w:hAnsi="仿宋" w:eastAsia="仿宋" w:cs="仿宋"/>
          <w:kern w:val="1"/>
          <w:sz w:val="32"/>
          <w:szCs w:val="32"/>
          <w:lang w:val="en-US" w:eastAsia="zh-CN"/>
        </w:rPr>
        <w:t>2021年教育系统各中小学（幼儿园）</w:t>
      </w:r>
      <w:r>
        <w:rPr>
          <w:rFonts w:hint="eastAsia" w:ascii="仿宋" w:hAnsi="仿宋" w:eastAsia="仿宋" w:cs="仿宋"/>
          <w:kern w:val="1"/>
          <w:sz w:val="32"/>
          <w:szCs w:val="32"/>
          <w:lang w:eastAsia="zh-CN"/>
        </w:rPr>
        <w:t>整体支出绩效评价得分</w:t>
      </w:r>
      <w:r>
        <w:rPr>
          <w:rFonts w:hint="eastAsia" w:ascii="仿宋" w:hAnsi="仿宋" w:eastAsia="仿宋" w:cs="仿宋"/>
          <w:kern w:val="1"/>
          <w:sz w:val="32"/>
          <w:szCs w:val="32"/>
          <w:lang w:val="en-US" w:eastAsia="zh-CN"/>
        </w:rPr>
        <w:t>96分，</w:t>
      </w:r>
      <w:r>
        <w:rPr>
          <w:rFonts w:hint="eastAsia" w:ascii="仿宋" w:hAnsi="仿宋" w:eastAsia="仿宋" w:cs="仿宋"/>
          <w:kern w:val="1"/>
          <w:sz w:val="32"/>
          <w:szCs w:val="32"/>
          <w:lang w:eastAsia="zh-CN"/>
        </w:rPr>
        <w:t>部门整体支出绩效为“优”。</w:t>
      </w:r>
    </w:p>
    <w:p>
      <w:pPr>
        <w:pStyle w:val="5"/>
        <w:spacing w:before="0" w:beforeAutospacing="0" w:after="0" w:afterAutospacing="0" w:line="520" w:lineRule="atLeast"/>
        <w:ind w:firstLine="420"/>
        <w:rPr>
          <w:rFonts w:hint="eastAsia" w:ascii="仿宋" w:hAnsi="仿宋" w:eastAsia="仿宋" w:cs="仿宋"/>
          <w:b/>
          <w:color w:val="000000"/>
          <w:sz w:val="32"/>
          <w:szCs w:val="32"/>
        </w:rPr>
      </w:pPr>
      <w:r>
        <w:rPr>
          <w:rFonts w:hint="eastAsia" w:ascii="仿宋" w:hAnsi="仿宋" w:eastAsia="仿宋" w:cs="仿宋"/>
          <w:b/>
          <w:color w:val="000000"/>
          <w:sz w:val="32"/>
          <w:szCs w:val="32"/>
        </w:rPr>
        <w:t>五：存在的问题</w:t>
      </w:r>
    </w:p>
    <w:p>
      <w:pPr>
        <w:pStyle w:val="5"/>
        <w:spacing w:before="0" w:beforeAutospacing="0" w:after="0" w:afterAutospacing="0" w:line="520" w:lineRule="atLeast"/>
        <w:ind w:firstLine="420"/>
        <w:rPr>
          <w:rFonts w:hint="eastAsia" w:ascii="仿宋" w:hAnsi="仿宋" w:eastAsia="仿宋" w:cs="仿宋"/>
          <w:kern w:val="1"/>
          <w:sz w:val="32"/>
          <w:szCs w:val="32"/>
          <w:lang w:eastAsia="zh-CN"/>
        </w:rPr>
      </w:pPr>
      <w:r>
        <w:rPr>
          <w:rFonts w:hint="eastAsia" w:ascii="仿宋" w:hAnsi="仿宋" w:eastAsia="仿宋" w:cs="仿宋"/>
          <w:b/>
          <w:color w:val="000000"/>
          <w:sz w:val="32"/>
          <w:szCs w:val="32"/>
          <w:lang w:val="en-US" w:eastAsia="zh-CN"/>
        </w:rPr>
        <w:t xml:space="preserve">   </w:t>
      </w:r>
      <w:r>
        <w:rPr>
          <w:rFonts w:hint="eastAsia" w:ascii="宋体" w:hAnsi="宋体" w:eastAsia="宋体" w:cs="宋体"/>
          <w:b w:val="0"/>
          <w:bCs/>
          <w:i w:val="0"/>
          <w:iCs w:val="0"/>
          <w:color w:val="000000"/>
          <w:sz w:val="32"/>
          <w:szCs w:val="32"/>
          <w:lang w:val="en-US" w:eastAsia="zh-CN"/>
        </w:rPr>
        <w:t>对照</w:t>
      </w:r>
      <w:r>
        <w:rPr>
          <w:rFonts w:hint="eastAsia" w:ascii="仿宋" w:hAnsi="仿宋" w:eastAsia="仿宋" w:cs="仿宋"/>
          <w:kern w:val="1"/>
          <w:sz w:val="32"/>
          <w:szCs w:val="32"/>
          <w:lang w:eastAsia="zh-CN"/>
        </w:rPr>
        <w:t>部门整体支出绩效评价指标标准和我单位自评得分，反映出在整体支出的预算编制、执行和管理过程中，存在一些问题和不足。</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1、年初预算编制前瞩性偏低，造成预算执行偏低</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2、财政预算资金安排不及时影响绩效目标完成质量；</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3、内部管理制度在实际执行过程中欠细化。</w:t>
      </w:r>
    </w:p>
    <w:p>
      <w:pPr>
        <w:spacing w:line="580" w:lineRule="exact"/>
        <w:contextualSpacing/>
        <w:rPr>
          <w:rFonts w:hint="eastAsia" w:ascii="仿宋" w:hAnsi="仿宋" w:eastAsia="仿宋" w:cs="仿宋"/>
          <w:color w:val="000000"/>
          <w:sz w:val="32"/>
          <w:szCs w:val="32"/>
        </w:rPr>
      </w:pPr>
    </w:p>
    <w:p>
      <w:pPr>
        <w:spacing w:line="580" w:lineRule="exact"/>
        <w:contextualSpacing/>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六、改进措施和有关建议</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1、进一步加强内部机构的预算管理意识，严格按照预算编制的相</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关制度和要求，合理科学的编制预算，进一步提高预算编制的前瞩性、合理性、严谨性和可控性。</w:t>
      </w:r>
    </w:p>
    <w:p>
      <w:pPr>
        <w:pStyle w:val="5"/>
        <w:spacing w:before="0" w:beforeAutospacing="0" w:after="0" w:afterAutospacing="0" w:line="520" w:lineRule="atLeast"/>
        <w:ind w:firstLine="420"/>
        <w:rPr>
          <w:rFonts w:hint="eastAsia" w:ascii="仿宋" w:hAnsi="仿宋" w:eastAsia="仿宋" w:cs="仿宋"/>
          <w:kern w:val="1"/>
          <w:sz w:val="32"/>
          <w:szCs w:val="32"/>
          <w:lang w:val="en-US" w:eastAsia="zh-CN"/>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、加强对财务人员的业务指导及培训，让财务管理工作</w:t>
      </w:r>
      <w:r>
        <w:rPr>
          <w:rFonts w:hint="eastAsia" w:ascii="仿宋" w:hAnsi="仿宋" w:eastAsia="仿宋" w:cs="仿宋"/>
          <w:color w:val="000000"/>
          <w:sz w:val="32"/>
          <w:szCs w:val="32"/>
          <w:lang w:eastAsia="zh-CN"/>
        </w:rPr>
        <w:t>不断</w:t>
      </w:r>
      <w:r>
        <w:rPr>
          <w:rFonts w:hint="eastAsia" w:ascii="仿宋" w:hAnsi="仿宋" w:eastAsia="仿宋" w:cs="仿宋"/>
          <w:color w:val="000000"/>
          <w:sz w:val="32"/>
          <w:szCs w:val="32"/>
        </w:rPr>
        <w:t>精</w:t>
      </w:r>
      <w:r>
        <w:rPr>
          <w:rFonts w:hint="eastAsia" w:ascii="仿宋" w:hAnsi="仿宋" w:eastAsia="仿宋" w:cs="仿宋"/>
          <w:color w:val="000000"/>
          <w:sz w:val="32"/>
          <w:szCs w:val="32"/>
          <w:lang w:eastAsia="zh-CN"/>
        </w:rPr>
        <w:t>细。</w:t>
      </w:r>
    </w:p>
    <w:p>
      <w:pPr>
        <w:spacing w:line="520" w:lineRule="exact"/>
        <w:rPr>
          <w:rFonts w:hint="eastAsia" w:ascii="仿宋" w:hAnsi="仿宋" w:eastAsia="仿宋" w:cs="仿宋"/>
          <w:b/>
          <w:bCs/>
          <w:sz w:val="28"/>
          <w:szCs w:val="28"/>
        </w:rPr>
      </w:pPr>
    </w:p>
    <w:p>
      <w:pPr>
        <w:spacing w:line="520" w:lineRule="exact"/>
        <w:rPr>
          <w:rFonts w:hint="eastAsia" w:ascii="仿宋" w:hAnsi="仿宋" w:eastAsia="仿宋" w:cs="仿宋"/>
          <w:b/>
          <w:bCs/>
          <w:sz w:val="28"/>
          <w:szCs w:val="28"/>
        </w:rPr>
      </w:pPr>
    </w:p>
    <w:p>
      <w:pPr>
        <w:spacing w:line="520" w:lineRule="exact"/>
        <w:ind w:firstLine="4800" w:firstLineChars="1500"/>
        <w:rPr>
          <w:rFonts w:hint="eastAsia" w:ascii="仿宋" w:hAnsi="仿宋" w:eastAsia="仿宋" w:cs="仿宋"/>
          <w:sz w:val="32"/>
          <w:szCs w:val="32"/>
          <w:lang w:eastAsia="zh-CN"/>
        </w:rPr>
      </w:pPr>
      <w:r>
        <w:rPr>
          <w:rFonts w:hint="eastAsia" w:ascii="仿宋" w:hAnsi="仿宋" w:eastAsia="仿宋" w:cs="仿宋"/>
          <w:sz w:val="32"/>
          <w:szCs w:val="32"/>
        </w:rPr>
        <w:t>麻阳苗族自治县</w:t>
      </w:r>
      <w:r>
        <w:rPr>
          <w:rFonts w:hint="eastAsia" w:ascii="仿宋" w:hAnsi="仿宋" w:eastAsia="仿宋" w:cs="仿宋"/>
          <w:sz w:val="32"/>
          <w:szCs w:val="32"/>
          <w:lang w:eastAsia="zh-CN"/>
        </w:rPr>
        <w:t>教育局</w:t>
      </w:r>
    </w:p>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spacing w:line="520" w:lineRule="exact"/>
        <w:jc w:val="center"/>
        <w:rPr>
          <w:rFonts w:hint="eastAsia" w:ascii="仿宋" w:hAnsi="仿宋" w:eastAsia="仿宋" w:cs="仿宋"/>
          <w:sz w:val="32"/>
          <w:szCs w:val="32"/>
        </w:rPr>
      </w:pPr>
    </w:p>
    <w:p>
      <w:pPr>
        <w:rPr>
          <w:rFonts w:hint="eastAsia" w:ascii="仿宋" w:hAnsi="仿宋" w:eastAsia="仿宋" w:cs="仿宋"/>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61B63"/>
    <w:multiLevelType w:val="singleLevel"/>
    <w:tmpl w:val="F3461B63"/>
    <w:lvl w:ilvl="0" w:tentative="0">
      <w:start w:val="1"/>
      <w:numFmt w:val="chineseCounting"/>
      <w:suff w:val="nothing"/>
      <w:lvlText w:val="%1、"/>
      <w:lvlJc w:val="left"/>
      <w:pPr>
        <w:ind w:left="709" w:firstLine="0"/>
      </w:pPr>
      <w:rPr>
        <w:rFonts w:hint="eastAsia"/>
      </w:rPr>
    </w:lvl>
  </w:abstractNum>
  <w:abstractNum w:abstractNumId="1">
    <w:nsid w:val="FF5E1644"/>
    <w:multiLevelType w:val="singleLevel"/>
    <w:tmpl w:val="FF5E1644"/>
    <w:lvl w:ilvl="0" w:tentative="0">
      <w:start w:val="1"/>
      <w:numFmt w:val="decimal"/>
      <w:suff w:val="nothing"/>
      <w:lvlText w:val="（%1）"/>
      <w:lvlJc w:val="left"/>
    </w:lvl>
  </w:abstractNum>
  <w:abstractNum w:abstractNumId="2">
    <w:nsid w:val="11975408"/>
    <w:multiLevelType w:val="singleLevel"/>
    <w:tmpl w:val="11975408"/>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WZjZWMwY2I2YmFmZjE5ZDhmZTI0YzU4NjdhMjUifQ=="/>
  </w:docVars>
  <w:rsids>
    <w:rsidRoot w:val="00A20D0D"/>
    <w:rsid w:val="000150AF"/>
    <w:rsid w:val="00042CEA"/>
    <w:rsid w:val="00067206"/>
    <w:rsid w:val="000B5D02"/>
    <w:rsid w:val="000E1AAB"/>
    <w:rsid w:val="001C51BB"/>
    <w:rsid w:val="00253DD9"/>
    <w:rsid w:val="0028529A"/>
    <w:rsid w:val="00297D11"/>
    <w:rsid w:val="0031097E"/>
    <w:rsid w:val="0034238E"/>
    <w:rsid w:val="00344E87"/>
    <w:rsid w:val="0036165A"/>
    <w:rsid w:val="00364A66"/>
    <w:rsid w:val="00465040"/>
    <w:rsid w:val="00472D96"/>
    <w:rsid w:val="00482F1C"/>
    <w:rsid w:val="00497AD0"/>
    <w:rsid w:val="004F11B7"/>
    <w:rsid w:val="00506D94"/>
    <w:rsid w:val="0052382E"/>
    <w:rsid w:val="00543193"/>
    <w:rsid w:val="006518D9"/>
    <w:rsid w:val="006529C0"/>
    <w:rsid w:val="00654261"/>
    <w:rsid w:val="0066245D"/>
    <w:rsid w:val="006A0B6F"/>
    <w:rsid w:val="006B1334"/>
    <w:rsid w:val="006B2BD8"/>
    <w:rsid w:val="006D2509"/>
    <w:rsid w:val="00723569"/>
    <w:rsid w:val="0076017A"/>
    <w:rsid w:val="007B5E52"/>
    <w:rsid w:val="007D2BBA"/>
    <w:rsid w:val="007E042D"/>
    <w:rsid w:val="00803C15"/>
    <w:rsid w:val="00851F07"/>
    <w:rsid w:val="00856164"/>
    <w:rsid w:val="0086698E"/>
    <w:rsid w:val="00916B72"/>
    <w:rsid w:val="00921E9A"/>
    <w:rsid w:val="009C49C2"/>
    <w:rsid w:val="009F28DD"/>
    <w:rsid w:val="009F66EC"/>
    <w:rsid w:val="00A20D0D"/>
    <w:rsid w:val="00A36304"/>
    <w:rsid w:val="00A65993"/>
    <w:rsid w:val="00A77FCA"/>
    <w:rsid w:val="00A8538B"/>
    <w:rsid w:val="00AD5008"/>
    <w:rsid w:val="00B30471"/>
    <w:rsid w:val="00B40C14"/>
    <w:rsid w:val="00BA1A63"/>
    <w:rsid w:val="00BC7843"/>
    <w:rsid w:val="00BD0379"/>
    <w:rsid w:val="00BD25AF"/>
    <w:rsid w:val="00BF35BC"/>
    <w:rsid w:val="00C111E8"/>
    <w:rsid w:val="00C13B3D"/>
    <w:rsid w:val="00C45F58"/>
    <w:rsid w:val="00C934C0"/>
    <w:rsid w:val="00CD6473"/>
    <w:rsid w:val="00CF4E58"/>
    <w:rsid w:val="00D1712E"/>
    <w:rsid w:val="00D63BD2"/>
    <w:rsid w:val="00D7423C"/>
    <w:rsid w:val="00DA6441"/>
    <w:rsid w:val="00DB07D3"/>
    <w:rsid w:val="00DC6BEE"/>
    <w:rsid w:val="00DF1FDA"/>
    <w:rsid w:val="00DF246C"/>
    <w:rsid w:val="00E20493"/>
    <w:rsid w:val="00E742DB"/>
    <w:rsid w:val="00EA6D89"/>
    <w:rsid w:val="00F01A6A"/>
    <w:rsid w:val="00F52150"/>
    <w:rsid w:val="00F653DA"/>
    <w:rsid w:val="00F73A31"/>
    <w:rsid w:val="00FA7F59"/>
    <w:rsid w:val="00FC7E28"/>
    <w:rsid w:val="00FE5042"/>
    <w:rsid w:val="00FE54EA"/>
    <w:rsid w:val="01D610A9"/>
    <w:rsid w:val="025758E2"/>
    <w:rsid w:val="025C5DEE"/>
    <w:rsid w:val="02A50AD1"/>
    <w:rsid w:val="03430ABA"/>
    <w:rsid w:val="03440442"/>
    <w:rsid w:val="04FD27E8"/>
    <w:rsid w:val="051A7E0A"/>
    <w:rsid w:val="052F50D9"/>
    <w:rsid w:val="0581101A"/>
    <w:rsid w:val="0588499A"/>
    <w:rsid w:val="05C93C36"/>
    <w:rsid w:val="05E54FCE"/>
    <w:rsid w:val="062243FE"/>
    <w:rsid w:val="08512608"/>
    <w:rsid w:val="08655196"/>
    <w:rsid w:val="08C46AED"/>
    <w:rsid w:val="0A1A2F1B"/>
    <w:rsid w:val="0A9F0932"/>
    <w:rsid w:val="0ABA50BC"/>
    <w:rsid w:val="0DBD6DA7"/>
    <w:rsid w:val="0DFC1139"/>
    <w:rsid w:val="0E1E06A7"/>
    <w:rsid w:val="0E8162FC"/>
    <w:rsid w:val="0EA737B2"/>
    <w:rsid w:val="0EB3241A"/>
    <w:rsid w:val="0EDC3D89"/>
    <w:rsid w:val="0F3036BB"/>
    <w:rsid w:val="0FC62B0B"/>
    <w:rsid w:val="104021D9"/>
    <w:rsid w:val="108155C1"/>
    <w:rsid w:val="10D4716A"/>
    <w:rsid w:val="117250F0"/>
    <w:rsid w:val="118F0C34"/>
    <w:rsid w:val="120155AE"/>
    <w:rsid w:val="12F24E3E"/>
    <w:rsid w:val="134358DA"/>
    <w:rsid w:val="134770B1"/>
    <w:rsid w:val="13571E2E"/>
    <w:rsid w:val="13A604FB"/>
    <w:rsid w:val="13D4500B"/>
    <w:rsid w:val="13F549DA"/>
    <w:rsid w:val="13F6628B"/>
    <w:rsid w:val="144866E4"/>
    <w:rsid w:val="14515DD5"/>
    <w:rsid w:val="146C299C"/>
    <w:rsid w:val="14864F0B"/>
    <w:rsid w:val="14952E5B"/>
    <w:rsid w:val="153D1AE3"/>
    <w:rsid w:val="154A62AD"/>
    <w:rsid w:val="15524F1D"/>
    <w:rsid w:val="165F7CEC"/>
    <w:rsid w:val="1731623F"/>
    <w:rsid w:val="18767516"/>
    <w:rsid w:val="18845DF7"/>
    <w:rsid w:val="18AB1F57"/>
    <w:rsid w:val="19144E34"/>
    <w:rsid w:val="19EA6EDF"/>
    <w:rsid w:val="19ED1558"/>
    <w:rsid w:val="1AB9532D"/>
    <w:rsid w:val="1B7C10DB"/>
    <w:rsid w:val="1B846B99"/>
    <w:rsid w:val="1BC4280F"/>
    <w:rsid w:val="1BC6388F"/>
    <w:rsid w:val="1C0A39BF"/>
    <w:rsid w:val="1C594F00"/>
    <w:rsid w:val="1CCD326D"/>
    <w:rsid w:val="1D1659A3"/>
    <w:rsid w:val="1D73219E"/>
    <w:rsid w:val="1DD15A38"/>
    <w:rsid w:val="1E504461"/>
    <w:rsid w:val="1E81066A"/>
    <w:rsid w:val="1ED97B45"/>
    <w:rsid w:val="1F270C70"/>
    <w:rsid w:val="2086407C"/>
    <w:rsid w:val="20AD11BA"/>
    <w:rsid w:val="214B4BC3"/>
    <w:rsid w:val="21737F9B"/>
    <w:rsid w:val="227E53EA"/>
    <w:rsid w:val="22CF51EA"/>
    <w:rsid w:val="2395198E"/>
    <w:rsid w:val="23B7501B"/>
    <w:rsid w:val="23D12DB5"/>
    <w:rsid w:val="23ED699C"/>
    <w:rsid w:val="2409337B"/>
    <w:rsid w:val="240C4B60"/>
    <w:rsid w:val="241B7E99"/>
    <w:rsid w:val="24945D36"/>
    <w:rsid w:val="24BF1716"/>
    <w:rsid w:val="250D0318"/>
    <w:rsid w:val="25526699"/>
    <w:rsid w:val="255C53AF"/>
    <w:rsid w:val="259A1E8B"/>
    <w:rsid w:val="26BE4BB8"/>
    <w:rsid w:val="2776664F"/>
    <w:rsid w:val="27E81F7D"/>
    <w:rsid w:val="2828115C"/>
    <w:rsid w:val="28BB4D9A"/>
    <w:rsid w:val="28D15337"/>
    <w:rsid w:val="29270663"/>
    <w:rsid w:val="293528E1"/>
    <w:rsid w:val="295B26F5"/>
    <w:rsid w:val="29E97E5B"/>
    <w:rsid w:val="29F77528"/>
    <w:rsid w:val="2A514B36"/>
    <w:rsid w:val="2A767C7E"/>
    <w:rsid w:val="2A9B4409"/>
    <w:rsid w:val="2AFE4BD4"/>
    <w:rsid w:val="2B2D26B8"/>
    <w:rsid w:val="2B475657"/>
    <w:rsid w:val="2C2D2CA0"/>
    <w:rsid w:val="2C361B74"/>
    <w:rsid w:val="2C6A039F"/>
    <w:rsid w:val="2CCA6239"/>
    <w:rsid w:val="2CF03F85"/>
    <w:rsid w:val="2D121E59"/>
    <w:rsid w:val="2D300909"/>
    <w:rsid w:val="2D563870"/>
    <w:rsid w:val="2E277E7A"/>
    <w:rsid w:val="2E883474"/>
    <w:rsid w:val="2FC037D3"/>
    <w:rsid w:val="2FC703AF"/>
    <w:rsid w:val="3086577F"/>
    <w:rsid w:val="30E917F2"/>
    <w:rsid w:val="31446FFF"/>
    <w:rsid w:val="316826F9"/>
    <w:rsid w:val="32174D3B"/>
    <w:rsid w:val="32CD081E"/>
    <w:rsid w:val="34916A44"/>
    <w:rsid w:val="34B65B8B"/>
    <w:rsid w:val="34EC0142"/>
    <w:rsid w:val="34F5777F"/>
    <w:rsid w:val="35131158"/>
    <w:rsid w:val="363F563E"/>
    <w:rsid w:val="369A7EA1"/>
    <w:rsid w:val="371D7FA9"/>
    <w:rsid w:val="37257B37"/>
    <w:rsid w:val="37E81FCC"/>
    <w:rsid w:val="38092E13"/>
    <w:rsid w:val="381F6CA1"/>
    <w:rsid w:val="38473559"/>
    <w:rsid w:val="38754AA8"/>
    <w:rsid w:val="38DE4A25"/>
    <w:rsid w:val="39123A3B"/>
    <w:rsid w:val="39A01EF2"/>
    <w:rsid w:val="3A791D8C"/>
    <w:rsid w:val="3B5A0B33"/>
    <w:rsid w:val="3B8933A3"/>
    <w:rsid w:val="3C395C37"/>
    <w:rsid w:val="3C4F7526"/>
    <w:rsid w:val="3C717079"/>
    <w:rsid w:val="3C7E42BF"/>
    <w:rsid w:val="3CA11F03"/>
    <w:rsid w:val="3D153845"/>
    <w:rsid w:val="3D6370CC"/>
    <w:rsid w:val="3DCD7A0D"/>
    <w:rsid w:val="3E15714A"/>
    <w:rsid w:val="3E9F00BC"/>
    <w:rsid w:val="3ED54888"/>
    <w:rsid w:val="3F2004D3"/>
    <w:rsid w:val="3F3A3EF5"/>
    <w:rsid w:val="3F7B1F91"/>
    <w:rsid w:val="404B7D94"/>
    <w:rsid w:val="409D5C06"/>
    <w:rsid w:val="4248285A"/>
    <w:rsid w:val="425F71F3"/>
    <w:rsid w:val="4302047E"/>
    <w:rsid w:val="432F0F1E"/>
    <w:rsid w:val="435C0EAF"/>
    <w:rsid w:val="43DB18B1"/>
    <w:rsid w:val="449C3F71"/>
    <w:rsid w:val="44B34E3D"/>
    <w:rsid w:val="458A505F"/>
    <w:rsid w:val="45B2285B"/>
    <w:rsid w:val="45D46CA9"/>
    <w:rsid w:val="45E873F9"/>
    <w:rsid w:val="46003DE9"/>
    <w:rsid w:val="465A4273"/>
    <w:rsid w:val="46F02761"/>
    <w:rsid w:val="47C0202D"/>
    <w:rsid w:val="48600925"/>
    <w:rsid w:val="494949E6"/>
    <w:rsid w:val="497769CB"/>
    <w:rsid w:val="49B7582C"/>
    <w:rsid w:val="4A596B16"/>
    <w:rsid w:val="4AB076A1"/>
    <w:rsid w:val="4B2C749A"/>
    <w:rsid w:val="4B2E409F"/>
    <w:rsid w:val="4C8F50FD"/>
    <w:rsid w:val="4C994A2C"/>
    <w:rsid w:val="4CD64BB6"/>
    <w:rsid w:val="4D1244ED"/>
    <w:rsid w:val="4D717953"/>
    <w:rsid w:val="4DE77A16"/>
    <w:rsid w:val="4E8E14E1"/>
    <w:rsid w:val="4E9055AE"/>
    <w:rsid w:val="4EA54EDB"/>
    <w:rsid w:val="4F30546A"/>
    <w:rsid w:val="4F48763C"/>
    <w:rsid w:val="4F577BDE"/>
    <w:rsid w:val="4FB4138E"/>
    <w:rsid w:val="4FD308DB"/>
    <w:rsid w:val="509955DB"/>
    <w:rsid w:val="50B25BE8"/>
    <w:rsid w:val="50DE2137"/>
    <w:rsid w:val="50F674D5"/>
    <w:rsid w:val="51211776"/>
    <w:rsid w:val="51541F33"/>
    <w:rsid w:val="5167039E"/>
    <w:rsid w:val="517C0A52"/>
    <w:rsid w:val="52222835"/>
    <w:rsid w:val="523F74CE"/>
    <w:rsid w:val="52DF0ED5"/>
    <w:rsid w:val="52F31349"/>
    <w:rsid w:val="54704B4C"/>
    <w:rsid w:val="54E02D83"/>
    <w:rsid w:val="551F0500"/>
    <w:rsid w:val="564C63B7"/>
    <w:rsid w:val="565760FA"/>
    <w:rsid w:val="566B1748"/>
    <w:rsid w:val="56A45C5C"/>
    <w:rsid w:val="56D27DCA"/>
    <w:rsid w:val="56EF33EF"/>
    <w:rsid w:val="58B714A9"/>
    <w:rsid w:val="58D10056"/>
    <w:rsid w:val="59290CF4"/>
    <w:rsid w:val="59783969"/>
    <w:rsid w:val="59A56B86"/>
    <w:rsid w:val="5A111F6B"/>
    <w:rsid w:val="5A8F628B"/>
    <w:rsid w:val="5AF010C8"/>
    <w:rsid w:val="5AF444C1"/>
    <w:rsid w:val="5BF278F8"/>
    <w:rsid w:val="5C453BE5"/>
    <w:rsid w:val="5C947833"/>
    <w:rsid w:val="5C9F3EF6"/>
    <w:rsid w:val="5CA47399"/>
    <w:rsid w:val="5DBD51B4"/>
    <w:rsid w:val="5DF35E7C"/>
    <w:rsid w:val="5E336159"/>
    <w:rsid w:val="5E37033A"/>
    <w:rsid w:val="5E4C4E4D"/>
    <w:rsid w:val="5EB555D5"/>
    <w:rsid w:val="5EDC0DBF"/>
    <w:rsid w:val="5EFC7BA7"/>
    <w:rsid w:val="5F8B5C9C"/>
    <w:rsid w:val="60662F6E"/>
    <w:rsid w:val="609D2FAE"/>
    <w:rsid w:val="60A53898"/>
    <w:rsid w:val="60BA3632"/>
    <w:rsid w:val="60CC028A"/>
    <w:rsid w:val="62580269"/>
    <w:rsid w:val="62646217"/>
    <w:rsid w:val="6284587A"/>
    <w:rsid w:val="629E74F4"/>
    <w:rsid w:val="63B657BC"/>
    <w:rsid w:val="63EA635F"/>
    <w:rsid w:val="63EC7732"/>
    <w:rsid w:val="64724BDA"/>
    <w:rsid w:val="650B4C91"/>
    <w:rsid w:val="654462D0"/>
    <w:rsid w:val="66011A80"/>
    <w:rsid w:val="660F138C"/>
    <w:rsid w:val="663D54B0"/>
    <w:rsid w:val="666077A4"/>
    <w:rsid w:val="66666D3D"/>
    <w:rsid w:val="66D555DF"/>
    <w:rsid w:val="670619B7"/>
    <w:rsid w:val="67CC62FA"/>
    <w:rsid w:val="68527224"/>
    <w:rsid w:val="688B3AE9"/>
    <w:rsid w:val="68B37AC2"/>
    <w:rsid w:val="695E1CB9"/>
    <w:rsid w:val="6A3B1FCA"/>
    <w:rsid w:val="6A7C1085"/>
    <w:rsid w:val="6A7D1463"/>
    <w:rsid w:val="6AD91CF7"/>
    <w:rsid w:val="6B2F5A38"/>
    <w:rsid w:val="6B641A92"/>
    <w:rsid w:val="6B8913D7"/>
    <w:rsid w:val="6BB0705F"/>
    <w:rsid w:val="6BCF0F44"/>
    <w:rsid w:val="6C7F406D"/>
    <w:rsid w:val="6CAD1D1B"/>
    <w:rsid w:val="6CAE416D"/>
    <w:rsid w:val="6D4E1229"/>
    <w:rsid w:val="6D6953C1"/>
    <w:rsid w:val="6D7538AE"/>
    <w:rsid w:val="6E1D7CF3"/>
    <w:rsid w:val="6E4311C8"/>
    <w:rsid w:val="6EA50F15"/>
    <w:rsid w:val="6EDF2AE6"/>
    <w:rsid w:val="6FB37ACE"/>
    <w:rsid w:val="705F62A6"/>
    <w:rsid w:val="70784AD4"/>
    <w:rsid w:val="70A2003C"/>
    <w:rsid w:val="70EE34BD"/>
    <w:rsid w:val="7116174F"/>
    <w:rsid w:val="720206FA"/>
    <w:rsid w:val="72080B51"/>
    <w:rsid w:val="725D2EC1"/>
    <w:rsid w:val="7263255A"/>
    <w:rsid w:val="72D11849"/>
    <w:rsid w:val="72EA0837"/>
    <w:rsid w:val="72F003F9"/>
    <w:rsid w:val="741540C6"/>
    <w:rsid w:val="749264E4"/>
    <w:rsid w:val="74BF0129"/>
    <w:rsid w:val="74F167B1"/>
    <w:rsid w:val="756F0B07"/>
    <w:rsid w:val="761021A4"/>
    <w:rsid w:val="76171BBB"/>
    <w:rsid w:val="762D615D"/>
    <w:rsid w:val="765C609A"/>
    <w:rsid w:val="780E5095"/>
    <w:rsid w:val="784F733E"/>
    <w:rsid w:val="7864058C"/>
    <w:rsid w:val="78CA41A9"/>
    <w:rsid w:val="79086F22"/>
    <w:rsid w:val="793E2C88"/>
    <w:rsid w:val="79701E0E"/>
    <w:rsid w:val="79920CCE"/>
    <w:rsid w:val="79A36A0D"/>
    <w:rsid w:val="7A49668F"/>
    <w:rsid w:val="7A610EB6"/>
    <w:rsid w:val="7AC86811"/>
    <w:rsid w:val="7AFD1CA6"/>
    <w:rsid w:val="7B262B55"/>
    <w:rsid w:val="7B446143"/>
    <w:rsid w:val="7B7C578D"/>
    <w:rsid w:val="7B8A4150"/>
    <w:rsid w:val="7C0D5A53"/>
    <w:rsid w:val="7CF84EC8"/>
    <w:rsid w:val="7D8331F9"/>
    <w:rsid w:val="7EC4450C"/>
    <w:rsid w:val="7F197C83"/>
    <w:rsid w:val="7F942585"/>
    <w:rsid w:val="7FE27047"/>
    <w:rsid w:val="7FED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rFonts w:cs="黑体"/>
      <w:kern w:val="2"/>
      <w:sz w:val="18"/>
      <w:szCs w:val="18"/>
    </w:rPr>
  </w:style>
  <w:style w:type="character" w:customStyle="1" w:styleId="9">
    <w:name w:val="页脚 Char"/>
    <w:basedOn w:val="7"/>
    <w:link w:val="3"/>
    <w:qFormat/>
    <w:uiPriority w:val="0"/>
    <w:rPr>
      <w:rFonts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0BE24F-8AB7-43B9-BC5B-59398AF510E3}">
  <ds:schemaRefs/>
</ds:datastoreItem>
</file>

<file path=docProps/app.xml><?xml version="1.0" encoding="utf-8"?>
<Properties xmlns="http://schemas.openxmlformats.org/officeDocument/2006/extended-properties" xmlns:vt="http://schemas.openxmlformats.org/officeDocument/2006/docPropsVTypes">
  <Template>Normal</Template>
  <Pages>11</Pages>
  <Words>5926</Words>
  <Characters>6356</Characters>
  <Lines>32</Lines>
  <Paragraphs>9</Paragraphs>
  <TotalTime>30</TotalTime>
  <ScaleCrop>false</ScaleCrop>
  <LinksUpToDate>false</LinksUpToDate>
  <CharactersWithSpaces>6837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2019-11-26T03:13:00Z</dcterms:created>
  <dc:creator>Administrator</dc:creator>
  <cp:lastModifiedBy>湘沅寨主</cp:lastModifiedBy>
  <cp:lastPrinted>2022-05-24T01:46:00Z</cp:lastPrinted>
  <dcterms:modified xsi:type="dcterms:W3CDTF">2022-06-28T03:49:18Z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D143C0D4BEE14584A09E6646DD6185CC</vt:lpwstr>
  </property>
</Properties>
</file>