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8"/>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6"/>
        <w:gridCol w:w="456"/>
        <w:gridCol w:w="672"/>
        <w:gridCol w:w="456"/>
        <w:gridCol w:w="1003"/>
        <w:gridCol w:w="456"/>
        <w:gridCol w:w="2972"/>
        <w:gridCol w:w="3436"/>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在职人员控制率=（在职人员数/编制数）×100%，在职人员数：部门（单位）实际在职人数，以财政确定的部门决算编制口径为准。</w:t>
            </w:r>
          </w:p>
          <w:p>
            <w:pPr>
              <w:widowControl/>
              <w:jc w:val="left"/>
              <w:rPr>
                <w:rFonts w:ascii="仿宋" w:eastAsia="仿宋"/>
                <w:sz w:val="24"/>
                <w:szCs w:val="24"/>
              </w:rPr>
            </w:pP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楼堂馆所面积控制率=实际建设面积/批准建设面积×100%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楼堂馆所投资预算控制率=实际投资金额/批准投资金额×100%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公用经费控制率=（实际支出公用经费总额/预算安排公用经费总额）×100%。</w:t>
            </w:r>
          </w:p>
          <w:p>
            <w:pPr>
              <w:widowControl/>
              <w:jc w:val="left"/>
              <w:rPr>
                <w:rFonts w:ascii="仿宋" w:eastAsia="仿宋"/>
                <w:sz w:val="24"/>
                <w:szCs w:val="24"/>
              </w:rPr>
            </w:pP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①有内部财务管理制度、会计核算制度等管理制度，2分；</w:t>
            </w:r>
          </w:p>
          <w:p>
            <w:pPr>
              <w:widowControl/>
              <w:jc w:val="left"/>
              <w:rPr>
                <w:rFonts w:hint="eastAsia" w:ascii="仿宋" w:eastAsia="仿宋"/>
                <w:sz w:val="24"/>
                <w:szCs w:val="24"/>
                <w:lang w:eastAsia="zh-CN"/>
              </w:rPr>
            </w:pPr>
            <w:r>
              <w:rPr>
                <w:rFonts w:ascii="仿宋" w:eastAsia="仿宋"/>
                <w:sz w:val="24"/>
                <w:szCs w:val="24"/>
              </w:rPr>
              <w:t>②有本部门厉行节约制度,2分；</w:t>
            </w:r>
          </w:p>
          <w:p>
            <w:pPr>
              <w:widowControl/>
              <w:jc w:val="left"/>
              <w:rPr>
                <w:rFonts w:ascii="仿宋" w:eastAsia="仿宋"/>
                <w:sz w:val="24"/>
                <w:szCs w:val="24"/>
              </w:rPr>
            </w:pP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eastAsia="仿宋"/>
                <w:sz w:val="24"/>
                <w:szCs w:val="24"/>
              </w:rPr>
            </w:pP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p>
          <w:p>
            <w:pPr>
              <w:widowControl/>
              <w:jc w:val="left"/>
              <w:rPr>
                <w:rFonts w:ascii="仿宋" w:eastAsia="仿宋"/>
                <w:sz w:val="24"/>
                <w:szCs w:val="24"/>
              </w:rPr>
            </w:pP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90%（含）以上计6分；</w:t>
            </w:r>
          </w:p>
          <w:p>
            <w:pPr>
              <w:widowControl/>
              <w:jc w:val="left"/>
              <w:rPr>
                <w:rFonts w:hint="eastAsia" w:ascii="仿宋" w:eastAsia="仿宋"/>
                <w:sz w:val="24"/>
                <w:szCs w:val="24"/>
                <w:lang w:eastAsia="zh-CN"/>
              </w:rPr>
            </w:pPr>
            <w:r>
              <w:rPr>
                <w:rFonts w:ascii="仿宋" w:eastAsia="仿宋"/>
                <w:sz w:val="24"/>
                <w:szCs w:val="24"/>
              </w:rPr>
              <w:t>80%（含）-90%，计4分；</w:t>
            </w:r>
          </w:p>
          <w:p>
            <w:pPr>
              <w:widowControl/>
              <w:jc w:val="left"/>
              <w:rPr>
                <w:rFonts w:hint="eastAsia" w:ascii="仿宋" w:eastAsia="仿宋"/>
                <w:sz w:val="24"/>
                <w:szCs w:val="24"/>
                <w:lang w:eastAsia="zh-CN"/>
              </w:rPr>
            </w:pPr>
            <w:r>
              <w:rPr>
                <w:rFonts w:ascii="仿宋" w:eastAsia="仿宋"/>
                <w:sz w:val="24"/>
                <w:szCs w:val="24"/>
              </w:rPr>
              <w:t>70%（含）-80%，计2分；</w:t>
            </w:r>
          </w:p>
          <w:p>
            <w:pPr>
              <w:widowControl/>
              <w:jc w:val="left"/>
              <w:rPr>
                <w:rFonts w:ascii="仿宋" w:eastAsia="仿宋"/>
                <w:sz w:val="24"/>
                <w:szCs w:val="24"/>
              </w:rPr>
            </w:pP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hint="eastAsia" w:ascii="仿宋" w:eastAsia="仿宋"/>
          <w:sz w:val="24"/>
          <w:lang w:val="en-US" w:eastAsia="zh-CN"/>
        </w:rPr>
        <w:t>县政法委</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8"/>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16</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21</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0.31</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0.31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0.31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132.26</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118.42</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95.71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26.17</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41.19</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22.24</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ascii="仿宋" w:eastAsia="仿宋"/>
                <w:color w:val="FF0000"/>
                <w:sz w:val="24"/>
              </w:rPr>
              <w:t>　</w:t>
            </w:r>
            <w:r>
              <w:rPr>
                <w:rFonts w:hint="eastAsia" w:ascii="仿宋" w:eastAsia="仿宋"/>
                <w:color w:val="FF0000"/>
                <w:sz w:val="24"/>
                <w:lang w:val="en-US" w:eastAsia="zh-CN"/>
              </w:rPr>
              <w:t>12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0.40</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both"/>
              <w:rPr>
                <w:rFonts w:hint="default" w:ascii="仿宋" w:eastAsia="仿宋"/>
                <w:color w:val="FF0000"/>
                <w:sz w:val="24"/>
                <w:lang w:val="en-US" w:eastAsia="zh-CN"/>
              </w:rPr>
            </w:pPr>
            <w:r>
              <w:rPr>
                <w:rFonts w:hint="eastAsia" w:ascii="仿宋" w:eastAsia="仿宋"/>
                <w:color w:val="FF0000"/>
                <w:sz w:val="24"/>
                <w:lang w:val="en-US" w:eastAsia="zh-CN"/>
              </w:rPr>
              <w:t xml:space="preserve">     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ascii="仿宋" w:eastAsia="仿宋"/>
                <w:sz w:val="24"/>
              </w:rPr>
              <w:t>楼堂馆所控制情况</w:t>
            </w:r>
          </w:p>
          <w:p>
            <w:pPr>
              <w:widowControl/>
              <w:jc w:val="center"/>
              <w:rPr>
                <w:rFonts w:ascii="仿宋" w:eastAsia="仿宋"/>
                <w:sz w:val="24"/>
              </w:rPr>
            </w:pP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b/>
                <w:bCs/>
                <w:sz w:val="24"/>
                <w:lang w:eastAsia="zh-CN"/>
              </w:rPr>
            </w:pPr>
            <w:r>
              <w:rPr>
                <w:rFonts w:ascii="仿宋" w:eastAsia="仿宋"/>
                <w:b/>
                <w:bCs/>
                <w:sz w:val="24"/>
              </w:rPr>
              <w:t>批复规模</w:t>
            </w:r>
          </w:p>
          <w:p>
            <w:pPr>
              <w:widowControl/>
              <w:jc w:val="center"/>
              <w:rPr>
                <w:rFonts w:ascii="仿宋" w:eastAsia="仿宋"/>
                <w:b/>
                <w:bCs/>
                <w:sz w:val="24"/>
              </w:rPr>
            </w:pP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8"/>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jc w:val="center"/>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jc w:val="center"/>
              <w:rPr>
                <w:rFonts w:hint="default" w:ascii="仿宋" w:eastAsia="仿宋"/>
                <w:sz w:val="24"/>
                <w:szCs w:val="24"/>
                <w:lang w:val="en-US" w:eastAsia="zh-CN"/>
              </w:rPr>
            </w:pPr>
            <w:r>
              <w:rPr>
                <w:rFonts w:hint="eastAsia" w:ascii="仿宋" w:eastAsia="仿宋"/>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jc w:val="center"/>
              <w:rPr>
                <w:rFonts w:hint="default" w:ascii="仿宋" w:eastAsia="仿宋"/>
                <w:sz w:val="24"/>
                <w:szCs w:val="24"/>
                <w:lang w:val="en-US" w:eastAsia="zh-CN"/>
              </w:rPr>
            </w:pPr>
            <w:r>
              <w:rPr>
                <w:rFonts w:hint="eastAsia" w:ascii="仿宋" w:eastAsia="仿宋"/>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jc w:val="center"/>
              <w:rPr>
                <w:rFonts w:hint="eastAsia" w:eastAsia="仿宋_GB2312"/>
                <w:lang w:val="en-US" w:eastAsia="zh-CN"/>
              </w:rPr>
            </w:pPr>
            <w:r>
              <w:rPr>
                <w:rFonts w:hint="eastAsia" w:ascii="仿宋" w:hAnsi="仿宋" w:eastAsia="仿宋" w:cs="仿宋"/>
                <w:b w:val="0"/>
                <w:bCs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jc w:val="center"/>
              <w:rPr>
                <w:rFonts w:hint="eastAsia" w:eastAsia="仿宋_GB2312"/>
                <w:lang w:val="en-US" w:eastAsia="zh-CN"/>
              </w:rPr>
            </w:pPr>
            <w:r>
              <w:rPr>
                <w:rFonts w:hint="eastAsia" w:ascii="仿宋" w:hAnsi="仿宋" w:eastAsia="仿宋" w:cs="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jc w:val="center"/>
              <w:rPr>
                <w:rFonts w:hint="eastAsia" w:eastAsia="仿宋_GB2312"/>
                <w:lang w:val="en-US" w:eastAsia="zh-CN"/>
              </w:rPr>
            </w:pPr>
            <w:r>
              <w:rPr>
                <w:rFonts w:hint="eastAsia" w:ascii="仿宋" w:hAnsi="仿宋" w:eastAsia="仿宋" w:cs="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bl>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jc w:val="left"/>
        <w:rPr>
          <w:rFonts w:hint="eastAsia" w:ascii="黑体" w:eastAsia="黑体"/>
        </w:rPr>
      </w:pPr>
      <w:r>
        <w:rPr>
          <w:rFonts w:hint="eastAsia" w:ascii="黑体" w:eastAsia="黑体"/>
        </w:rPr>
        <w:t>附件</w:t>
      </w:r>
      <w:r>
        <w:rPr>
          <w:rFonts w:ascii="黑体" w:eastAsia="黑体"/>
        </w:rPr>
        <w:t>4</w:t>
      </w:r>
    </w:p>
    <w:p>
      <w:pPr>
        <w:spacing w:line="580" w:lineRule="exact"/>
        <w:contextualSpacing/>
        <w:jc w:val="center"/>
      </w:pPr>
      <w:r>
        <w:rPr>
          <w:rFonts w:hint="eastAsia"/>
          <w:b/>
          <w:bCs/>
          <w:sz w:val="44"/>
          <w:szCs w:val="44"/>
          <w:u w:val="single" w:color="auto"/>
          <w:lang w:val="en-US" w:eastAsia="zh-CN"/>
        </w:rPr>
        <w:t>2021</w:t>
      </w:r>
      <w:r>
        <w:rPr>
          <w:b/>
          <w:bCs/>
          <w:sz w:val="44"/>
          <w:szCs w:val="44"/>
        </w:rPr>
        <w:t>年绩效自评报告</w:t>
      </w:r>
    </w:p>
    <w:p>
      <w:pPr>
        <w:spacing w:line="580" w:lineRule="exact"/>
        <w:contextualSpacing/>
      </w:pPr>
    </w:p>
    <w:p>
      <w:pPr>
        <w:spacing w:line="580" w:lineRule="exact"/>
        <w:ind w:firstLine="643" w:firstLineChars="200"/>
        <w:contextualSpacing/>
        <w:rPr>
          <w:b/>
          <w:bCs/>
        </w:rPr>
      </w:pPr>
      <w:r>
        <w:rPr>
          <w:b/>
          <w:bCs/>
        </w:rPr>
        <w:t>一、机构编制人员情况</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rPr>
        <w:t>中共麻阳苗族自治县政法委为全额拨款行政单位，股室有办公室、政工室、维稳指导室、综治督导室、反邪教协调室、执法监督室、铁路护路联防办公室。下设县护路护线联防办公室、县综治中心两个正股级事业单位。共核定编制</w:t>
      </w:r>
      <w:r>
        <w:rPr>
          <w:rFonts w:hint="eastAsia" w:ascii="仿宋" w:hAnsi="仿宋" w:eastAsia="仿宋" w:cs="仿宋"/>
          <w:i w:val="0"/>
          <w:iCs w:val="0"/>
          <w:caps w:val="0"/>
          <w:color w:val="333333"/>
          <w:spacing w:val="0"/>
          <w:sz w:val="32"/>
          <w:szCs w:val="32"/>
          <w:shd w:val="clear" w:fill="FFFFFF"/>
        </w:rPr>
        <w:t>16个，其中，行政编11个，事业编5个。年初实有人数30人，其中在职21人，退休人员9人，遗属4人。</w:t>
      </w:r>
    </w:p>
    <w:p>
      <w:pPr>
        <w:spacing w:line="580" w:lineRule="exact"/>
        <w:ind w:firstLine="643" w:firstLineChars="200"/>
        <w:contextualSpacing/>
        <w:rPr>
          <w:b/>
          <w:bCs/>
        </w:rPr>
      </w:pPr>
      <w:r>
        <w:rPr>
          <w:b/>
          <w:bCs/>
        </w:rPr>
        <w:t>二、单位主要职能与年度绩效目标</w:t>
      </w:r>
    </w:p>
    <w:p>
      <w:pPr>
        <w:spacing w:line="500" w:lineRule="exact"/>
        <w:ind w:firstLine="560" w:firstLineChars="200"/>
        <w:rPr>
          <w:rFonts w:hint="default" w:ascii="仿宋" w:hAnsi="仿宋" w:eastAsia="仿宋" w:cs="仿宋"/>
          <w:spacing w:val="0"/>
          <w:kern w:val="0"/>
          <w:sz w:val="28"/>
          <w:szCs w:val="28"/>
          <w:lang w:val="en-US" w:eastAsia="zh-CN"/>
        </w:rPr>
      </w:pPr>
      <w:r>
        <w:rPr>
          <w:rFonts w:hint="eastAsia" w:ascii="仿宋" w:hAnsi="仿宋" w:eastAsia="仿宋" w:cs="仿宋"/>
          <w:spacing w:val="0"/>
          <w:kern w:val="0"/>
          <w:sz w:val="28"/>
          <w:szCs w:val="28"/>
          <w:lang w:eastAsia="zh-CN"/>
        </w:rPr>
        <w:t>（</w:t>
      </w:r>
      <w:r>
        <w:rPr>
          <w:rFonts w:hint="eastAsia" w:ascii="仿宋" w:hAnsi="仿宋" w:eastAsia="仿宋" w:cs="仿宋"/>
          <w:spacing w:val="0"/>
          <w:kern w:val="0"/>
          <w:sz w:val="28"/>
          <w:szCs w:val="28"/>
          <w:lang w:val="en-US" w:eastAsia="zh-CN"/>
        </w:rPr>
        <w:t>一</w:t>
      </w:r>
      <w:r>
        <w:rPr>
          <w:rFonts w:hint="eastAsia" w:ascii="仿宋" w:hAnsi="仿宋" w:eastAsia="仿宋" w:cs="仿宋"/>
          <w:spacing w:val="0"/>
          <w:kern w:val="0"/>
          <w:sz w:val="28"/>
          <w:szCs w:val="28"/>
          <w:lang w:eastAsia="zh-CN"/>
        </w:rPr>
        <w:t>）</w:t>
      </w:r>
      <w:r>
        <w:rPr>
          <w:rFonts w:hint="eastAsia" w:ascii="仿宋" w:hAnsi="仿宋" w:eastAsia="仿宋" w:cs="仿宋"/>
          <w:spacing w:val="0"/>
          <w:kern w:val="0"/>
          <w:sz w:val="28"/>
          <w:szCs w:val="28"/>
          <w:lang w:val="en-US" w:eastAsia="zh-CN"/>
        </w:rPr>
        <w:t>单位主要职能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1.根据党的路线、方针、政策和县委的部署，对全县政法工作做出全局性部署，并督促落实检查。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2.组织协调全县社会治安综合治理工作。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3.组织协调指导全县维护社会稳定的工作，协调处理全县突发性事件和群体性事件。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4.检查政法各部门执行法律、法规和党的方针、政策的情况，研究制定推动政法各部门公正执法、落实党的方针政策的具体措施。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5.监督和支持政法各部门依法行使职权，指导和协调政法各部门在依法相互制约的同时加强相互配合，督促、推动大案、要案的查处工作，研究、协调有争议的重大、疑难案件。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6.组织推动政法和社会治安综合治理工作的调查研究，探索政法、综合治理工作改革，组织、推动依法治县方略的实施。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7.研究加强政法队伍建设的措施，协作县委及其组织部门考察、管理县政法部门的领导干部；协作纪检、监察部门查处涉及政法部门领导干部重大违法违纪案件。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8.指导政法各部门和乡镇社会治安综合治理委员会办公室的工作。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9.办理县委、县政府和上级政法委、社会治安综合治理委员会办公室交办的其他事项。</w:t>
      </w:r>
    </w:p>
    <w:p>
      <w:pPr>
        <w:spacing w:line="500" w:lineRule="exact"/>
        <w:ind w:firstLine="640" w:firstLineChars="200"/>
        <w:rPr>
          <w:rFonts w:hint="eastAsia" w:ascii="仿宋" w:hAnsi="仿宋" w:eastAsia="仿宋" w:cs="仿宋"/>
          <w:spacing w:val="0"/>
          <w:kern w:val="0"/>
          <w:sz w:val="32"/>
          <w:szCs w:val="32"/>
          <w:lang w:val="en-US" w:eastAsia="zh-CN"/>
        </w:rPr>
      </w:pPr>
      <w:r>
        <w:rPr>
          <w:rFonts w:hint="eastAsia" w:ascii="仿宋" w:hAnsi="仿宋" w:eastAsia="仿宋" w:cs="仿宋"/>
          <w:spacing w:val="0"/>
          <w:kern w:val="0"/>
          <w:sz w:val="32"/>
          <w:szCs w:val="32"/>
          <w:lang w:eastAsia="zh-CN"/>
        </w:rPr>
        <w:t>（</w:t>
      </w:r>
      <w:r>
        <w:rPr>
          <w:rFonts w:hint="eastAsia" w:ascii="仿宋" w:hAnsi="仿宋" w:eastAsia="仿宋" w:cs="仿宋"/>
          <w:spacing w:val="0"/>
          <w:kern w:val="0"/>
          <w:sz w:val="32"/>
          <w:szCs w:val="32"/>
          <w:lang w:val="en-US" w:eastAsia="zh-CN"/>
        </w:rPr>
        <w:t>二</w:t>
      </w:r>
      <w:r>
        <w:rPr>
          <w:rFonts w:hint="eastAsia" w:ascii="仿宋" w:hAnsi="仿宋" w:eastAsia="仿宋" w:cs="仿宋"/>
          <w:spacing w:val="0"/>
          <w:kern w:val="0"/>
          <w:sz w:val="32"/>
          <w:szCs w:val="32"/>
          <w:lang w:eastAsia="zh-CN"/>
        </w:rPr>
        <w:t>）</w:t>
      </w:r>
      <w:r>
        <w:rPr>
          <w:rFonts w:hint="eastAsia" w:ascii="仿宋" w:hAnsi="仿宋" w:eastAsia="仿宋" w:cs="仿宋"/>
          <w:spacing w:val="0"/>
          <w:kern w:val="0"/>
          <w:sz w:val="32"/>
          <w:szCs w:val="32"/>
          <w:lang w:val="en-US" w:eastAsia="zh-CN"/>
        </w:rPr>
        <w:t>年度绩效目标</w:t>
      </w:r>
    </w:p>
    <w:p>
      <w:pPr>
        <w:pBdr>
          <w:top w:val="none" w:color="000000" w:sz="0" w:space="0"/>
          <w:left w:val="none" w:color="000000" w:sz="0" w:space="0"/>
          <w:bottom w:val="none" w:color="000000" w:sz="0" w:space="0"/>
          <w:right w:val="none" w:color="000000" w:sz="0" w:space="0"/>
          <w:between w:val="none" w:color="000000" w:sz="0" w:space="0"/>
        </w:pBdr>
        <w:shd w:val="solid" w:color="FFFFFF" w:fill="FFFFFF"/>
        <w:spacing w:line="580" w:lineRule="exact"/>
        <w:ind w:firstLine="600"/>
        <w:rPr>
          <w:rFonts w:hint="eastAsia" w:ascii="仿宋" w:hAnsi="仿宋" w:eastAsia="仿宋" w:cs="仿宋"/>
          <w:spacing w:val="0"/>
          <w:sz w:val="32"/>
          <w:szCs w:val="32"/>
        </w:rPr>
      </w:pPr>
      <w:r>
        <w:rPr>
          <w:rFonts w:hint="eastAsia" w:ascii="仿宋" w:hAnsi="仿宋" w:eastAsia="仿宋" w:cs="仿宋"/>
          <w:spacing w:val="0"/>
          <w:kern w:val="0"/>
          <w:sz w:val="32"/>
          <w:szCs w:val="32"/>
        </w:rPr>
        <w:t>1、社会效益目标。</w:t>
      </w:r>
      <w:r>
        <w:rPr>
          <w:rFonts w:hint="eastAsia" w:ascii="仿宋" w:hAnsi="仿宋" w:eastAsia="仿宋" w:cs="仿宋"/>
          <w:spacing w:val="0"/>
          <w:sz w:val="32"/>
          <w:szCs w:val="32"/>
        </w:rPr>
        <w:t>认真学习贯彻党的十九大精神，深刻领会习近平新时代中国特色社会主义思想，牢固树立“四个意识”，深入推进简政放权、行政体制改革，规范创新机构编制管理，全面完成年初既定目标任务。</w:t>
      </w:r>
    </w:p>
    <w:p>
      <w:pPr>
        <w:spacing w:line="500" w:lineRule="exact"/>
        <w:ind w:firstLine="640" w:firstLineChars="200"/>
        <w:rPr>
          <w:rFonts w:hint="default" w:ascii="仿宋" w:hAnsi="仿宋" w:eastAsia="仿宋" w:cs="仿宋"/>
          <w:spacing w:val="0"/>
          <w:kern w:val="0"/>
          <w:sz w:val="32"/>
          <w:szCs w:val="32"/>
          <w:lang w:val="en-US" w:eastAsia="zh-CN"/>
        </w:rPr>
      </w:pPr>
      <w:r>
        <w:rPr>
          <w:rFonts w:hint="eastAsia" w:ascii="仿宋" w:hAnsi="仿宋" w:eastAsia="仿宋" w:cs="仿宋"/>
          <w:bCs/>
          <w:spacing w:val="0"/>
          <w:sz w:val="32"/>
          <w:szCs w:val="32"/>
        </w:rPr>
        <w:t>2、经济效益目标。</w:t>
      </w:r>
      <w:r>
        <w:rPr>
          <w:rFonts w:hint="eastAsia" w:ascii="仿宋" w:hAnsi="仿宋" w:eastAsia="仿宋" w:cs="仿宋"/>
          <w:spacing w:val="0"/>
          <w:sz w:val="32"/>
          <w:szCs w:val="32"/>
        </w:rPr>
        <w:t>严格按照《预算法》、财政相关政策法规及管理规定，科学、客观的进行预算编制；严格执行预算，严控行政成本，严格专项资金的专款专用，加快项目资金的执行进度，发挥项目资金使用效益。</w:t>
      </w:r>
    </w:p>
    <w:p>
      <w:pPr>
        <w:spacing w:line="580" w:lineRule="exact"/>
        <w:ind w:firstLine="643" w:firstLineChars="200"/>
        <w:contextualSpacing/>
        <w:rPr>
          <w:b/>
          <w:bCs/>
        </w:rPr>
      </w:pPr>
      <w:r>
        <w:rPr>
          <w:b/>
          <w:bCs/>
        </w:rPr>
        <w:t>三、年度整体支出及管理情况</w:t>
      </w:r>
    </w:p>
    <w:p>
      <w:pPr>
        <w:spacing w:line="580" w:lineRule="exact"/>
        <w:ind w:firstLine="640" w:firstLineChars="200"/>
        <w:contextualSpacing/>
        <w:rPr>
          <w:rFonts w:hint="eastAsia" w:ascii="仿宋" w:hAnsi="仿宋" w:eastAsia="仿宋" w:cs="仿宋"/>
        </w:rPr>
      </w:pPr>
      <w:r>
        <w:rPr>
          <w:rFonts w:hint="eastAsia" w:ascii="仿宋" w:hAnsi="仿宋" w:eastAsia="仿宋" w:cs="仿宋"/>
        </w:rPr>
        <w:t>2021年预算总收入</w:t>
      </w:r>
      <w:r>
        <w:rPr>
          <w:rFonts w:hint="eastAsia" w:ascii="仿宋" w:hAnsi="仿宋" w:eastAsia="仿宋" w:cs="仿宋"/>
          <w:lang w:val="en-US" w:eastAsia="zh-CN"/>
        </w:rPr>
        <w:t>604.65</w:t>
      </w:r>
      <w:r>
        <w:rPr>
          <w:rFonts w:hint="eastAsia" w:ascii="仿宋" w:hAnsi="仿宋" w:eastAsia="仿宋" w:cs="仿宋"/>
        </w:rPr>
        <w:t xml:space="preserve">万元，其中年初预算安排    </w:t>
      </w:r>
      <w:r>
        <w:rPr>
          <w:rFonts w:hint="eastAsia" w:ascii="仿宋" w:hAnsi="仿宋" w:eastAsia="仿宋" w:cs="仿宋"/>
          <w:lang w:val="en-US" w:eastAsia="zh-CN"/>
        </w:rPr>
        <w:t>483.56</w:t>
      </w:r>
      <w:r>
        <w:rPr>
          <w:rFonts w:hint="eastAsia" w:ascii="仿宋" w:hAnsi="仿宋" w:eastAsia="仿宋" w:cs="仿宋"/>
        </w:rPr>
        <w:t>万元，年度预算追加</w:t>
      </w:r>
      <w:r>
        <w:rPr>
          <w:rFonts w:hint="eastAsia" w:ascii="仿宋" w:hAnsi="仿宋" w:eastAsia="仿宋" w:cs="仿宋"/>
          <w:lang w:val="en-US" w:eastAsia="zh-CN"/>
        </w:rPr>
        <w:t>0</w:t>
      </w:r>
      <w:r>
        <w:rPr>
          <w:rFonts w:hint="eastAsia" w:ascii="仿宋" w:hAnsi="仿宋" w:eastAsia="仿宋" w:cs="仿宋"/>
        </w:rPr>
        <w:t>万元，上年结转收入</w:t>
      </w:r>
      <w:r>
        <w:rPr>
          <w:rFonts w:hint="eastAsia" w:ascii="仿宋" w:hAnsi="仿宋" w:eastAsia="仿宋" w:cs="仿宋"/>
          <w:lang w:val="en-US" w:eastAsia="zh-CN"/>
        </w:rPr>
        <w:t>121.09</w:t>
      </w:r>
      <w:r>
        <w:rPr>
          <w:rFonts w:hint="eastAsia" w:ascii="仿宋" w:hAnsi="仿宋" w:eastAsia="仿宋" w:cs="仿宋"/>
        </w:rPr>
        <w:t>万元。实际总支出</w:t>
      </w:r>
      <w:r>
        <w:rPr>
          <w:rFonts w:hint="eastAsia" w:ascii="仿宋" w:hAnsi="仿宋" w:eastAsia="仿宋" w:cs="仿宋"/>
          <w:lang w:val="en-US" w:eastAsia="zh-CN"/>
        </w:rPr>
        <w:t>604.65</w:t>
      </w:r>
      <w:r>
        <w:rPr>
          <w:rFonts w:hint="eastAsia" w:ascii="仿宋" w:hAnsi="仿宋" w:eastAsia="仿宋" w:cs="仿宋"/>
        </w:rPr>
        <w:t>万元，其中基本支出</w:t>
      </w:r>
      <w:r>
        <w:rPr>
          <w:rFonts w:hint="eastAsia" w:ascii="仿宋" w:hAnsi="仿宋" w:eastAsia="仿宋" w:cs="仿宋"/>
          <w:lang w:val="en-US" w:eastAsia="zh-CN"/>
        </w:rPr>
        <w:t>585.66</w:t>
      </w:r>
      <w:r>
        <w:rPr>
          <w:rFonts w:hint="eastAsia" w:ascii="仿宋" w:hAnsi="仿宋" w:eastAsia="仿宋" w:cs="仿宋"/>
        </w:rPr>
        <w:t>万元，占年初预算基本支出的</w:t>
      </w:r>
      <w:r>
        <w:rPr>
          <w:rFonts w:hint="eastAsia" w:ascii="仿宋" w:hAnsi="仿宋" w:eastAsia="仿宋" w:cs="仿宋"/>
          <w:lang w:val="en-US" w:eastAsia="zh-CN"/>
        </w:rPr>
        <w:t>100</w:t>
      </w:r>
      <w:r>
        <w:rPr>
          <w:rFonts w:hint="eastAsia" w:ascii="仿宋" w:hAnsi="仿宋" w:eastAsia="仿宋" w:cs="仿宋"/>
        </w:rPr>
        <w:t>%，占全年总支出的</w:t>
      </w:r>
      <w:r>
        <w:rPr>
          <w:rFonts w:hint="eastAsia" w:ascii="仿宋" w:hAnsi="仿宋" w:eastAsia="仿宋" w:cs="仿宋"/>
          <w:lang w:val="en-US" w:eastAsia="zh-CN"/>
        </w:rPr>
        <w:t>96.85</w:t>
      </w:r>
      <w:r>
        <w:rPr>
          <w:rFonts w:hint="eastAsia" w:ascii="仿宋" w:hAnsi="仿宋" w:eastAsia="仿宋" w:cs="仿宋"/>
        </w:rPr>
        <w:t xml:space="preserve"> %:项目支出</w:t>
      </w:r>
      <w:r>
        <w:rPr>
          <w:rFonts w:hint="eastAsia" w:ascii="仿宋" w:hAnsi="仿宋" w:eastAsia="仿宋" w:cs="仿宋"/>
          <w:lang w:val="en-US" w:eastAsia="zh-CN"/>
        </w:rPr>
        <w:t>18.99</w:t>
      </w:r>
      <w:r>
        <w:rPr>
          <w:rFonts w:hint="eastAsia" w:ascii="仿宋" w:hAnsi="仿宋" w:eastAsia="仿宋" w:cs="仿宋"/>
        </w:rPr>
        <w:t>万元，占年初预算项目支出的</w:t>
      </w:r>
      <w:r>
        <w:rPr>
          <w:rFonts w:hint="eastAsia" w:ascii="仿宋" w:hAnsi="仿宋" w:eastAsia="仿宋" w:cs="仿宋"/>
          <w:lang w:val="en-US" w:eastAsia="zh-CN"/>
        </w:rPr>
        <w:t>100</w:t>
      </w:r>
      <w:r>
        <w:rPr>
          <w:rFonts w:hint="eastAsia" w:ascii="仿宋" w:hAnsi="仿宋" w:eastAsia="仿宋" w:cs="仿宋"/>
        </w:rPr>
        <w:t>%，占全年总支出的</w:t>
      </w:r>
      <w:r>
        <w:rPr>
          <w:rFonts w:hint="eastAsia" w:ascii="仿宋" w:hAnsi="仿宋" w:eastAsia="仿宋" w:cs="仿宋"/>
          <w:lang w:val="en-US" w:eastAsia="zh-CN"/>
        </w:rPr>
        <w:t>3.15</w:t>
      </w:r>
      <w:r>
        <w:rPr>
          <w:rFonts w:hint="eastAsia" w:ascii="仿宋" w:hAnsi="仿宋" w:eastAsia="仿宋" w:cs="仿宋"/>
        </w:rPr>
        <w:t>%;年度结余</w:t>
      </w:r>
      <w:r>
        <w:rPr>
          <w:rFonts w:hint="eastAsia" w:ascii="仿宋" w:hAnsi="仿宋" w:eastAsia="仿宋" w:cs="仿宋"/>
          <w:lang w:val="en-US" w:eastAsia="zh-CN"/>
        </w:rPr>
        <w:t>0</w:t>
      </w:r>
      <w:r>
        <w:rPr>
          <w:rFonts w:hint="eastAsia" w:ascii="仿宋" w:hAnsi="仿宋" w:eastAsia="仿宋" w:cs="仿宋"/>
        </w:rPr>
        <w:t>万元，占总收入的</w:t>
      </w:r>
      <w:r>
        <w:rPr>
          <w:rFonts w:hint="eastAsia" w:ascii="仿宋" w:hAnsi="仿宋" w:eastAsia="仿宋" w:cs="仿宋"/>
          <w:lang w:val="en-US" w:eastAsia="zh-CN"/>
        </w:rPr>
        <w:t>0</w:t>
      </w:r>
      <w:r>
        <w:rPr>
          <w:rFonts w:hint="eastAsia" w:ascii="仿宋" w:hAnsi="仿宋" w:eastAsia="仿宋" w:cs="仿宋"/>
        </w:rPr>
        <w:t>%。</w:t>
      </w:r>
    </w:p>
    <w:p>
      <w:pPr>
        <w:numPr>
          <w:ilvl w:val="0"/>
          <w:numId w:val="1"/>
        </w:numPr>
        <w:spacing w:line="580" w:lineRule="exact"/>
        <w:ind w:firstLine="640" w:firstLineChars="200"/>
        <w:contextualSpacing/>
        <w:rPr>
          <w:rFonts w:hint="eastAsia" w:ascii="仿宋" w:hAnsi="仿宋" w:eastAsia="仿宋" w:cs="仿宋"/>
        </w:rPr>
      </w:pPr>
      <w:r>
        <w:rPr>
          <w:rFonts w:hint="eastAsia" w:ascii="仿宋" w:hAnsi="仿宋" w:eastAsia="仿宋" w:cs="仿宋"/>
        </w:rPr>
        <w:t>基本支出情况</w:t>
      </w:r>
    </w:p>
    <w:p>
      <w:pPr>
        <w:numPr>
          <w:ilvl w:val="0"/>
          <w:numId w:val="0"/>
        </w:numPr>
        <w:spacing w:line="580" w:lineRule="exact"/>
        <w:ind w:firstLine="640" w:firstLineChars="200"/>
        <w:contextualSpacing/>
        <w:rPr>
          <w:rFonts w:hint="eastAsia" w:ascii="仿宋" w:hAnsi="仿宋" w:eastAsia="仿宋" w:cs="仿宋"/>
        </w:rPr>
      </w:pPr>
      <w:r>
        <w:rPr>
          <w:rFonts w:hint="eastAsia" w:ascii="仿宋" w:hAnsi="仿宋" w:eastAsia="仿宋" w:cs="仿宋"/>
          <w:lang w:val="en-US" w:eastAsia="zh-CN"/>
        </w:rPr>
        <w:t>2021年度</w:t>
      </w:r>
      <w:r>
        <w:rPr>
          <w:rFonts w:hint="eastAsia" w:ascii="仿宋" w:hAnsi="仿宋" w:eastAsia="仿宋" w:cs="仿宋"/>
        </w:rPr>
        <w:t>基本支出</w:t>
      </w:r>
      <w:r>
        <w:rPr>
          <w:rFonts w:hint="eastAsia" w:ascii="仿宋" w:hAnsi="仿宋" w:eastAsia="仿宋" w:cs="仿宋"/>
          <w:lang w:val="en-US" w:eastAsia="zh-CN"/>
        </w:rPr>
        <w:t>604.65</w:t>
      </w:r>
      <w:r>
        <w:rPr>
          <w:rFonts w:hint="eastAsia" w:ascii="仿宋" w:hAnsi="仿宋" w:eastAsia="仿宋" w:cs="仿宋"/>
        </w:rPr>
        <w:t>万元</w:t>
      </w:r>
      <w:r>
        <w:rPr>
          <w:rFonts w:hint="eastAsia" w:ascii="仿宋" w:hAnsi="仿宋" w:eastAsia="仿宋" w:cs="仿宋"/>
          <w:lang w:eastAsia="zh-CN"/>
        </w:rPr>
        <w:t>，</w:t>
      </w:r>
      <w:r>
        <w:rPr>
          <w:rFonts w:hint="eastAsia" w:ascii="仿宋" w:hAnsi="仿宋" w:eastAsia="仿宋" w:cs="仿宋"/>
          <w:lang w:val="en-US" w:eastAsia="zh-CN"/>
        </w:rPr>
        <w:t>按功能科目分类，一般公共服务支出491.79万元，占81.33%；公共安全支出53.72万元，占8.88%；</w:t>
      </w:r>
      <w:r>
        <w:rPr>
          <w:rFonts w:hint="eastAsia" w:ascii="仿宋" w:hAnsi="仿宋" w:eastAsia="仿宋" w:cs="仿宋"/>
        </w:rPr>
        <w:t>社会保障和就业支出</w:t>
      </w:r>
      <w:r>
        <w:rPr>
          <w:rFonts w:hint="eastAsia" w:ascii="仿宋" w:hAnsi="仿宋" w:eastAsia="仿宋" w:cs="仿宋"/>
          <w:lang w:val="en-US" w:eastAsia="zh-CN"/>
        </w:rPr>
        <w:t>23.43</w:t>
      </w:r>
      <w:r>
        <w:rPr>
          <w:rFonts w:hint="eastAsia" w:ascii="仿宋" w:hAnsi="仿宋" w:eastAsia="仿宋" w:cs="仿宋"/>
        </w:rPr>
        <w:t>万元，占</w:t>
      </w:r>
      <w:r>
        <w:rPr>
          <w:rFonts w:hint="eastAsia" w:ascii="仿宋" w:hAnsi="仿宋" w:eastAsia="仿宋" w:cs="仿宋"/>
          <w:lang w:val="en-US" w:eastAsia="zh-CN"/>
        </w:rPr>
        <w:t>3.87</w:t>
      </w:r>
      <w:r>
        <w:rPr>
          <w:rFonts w:hint="eastAsia" w:ascii="仿宋" w:hAnsi="仿宋" w:eastAsia="仿宋" w:cs="仿宋"/>
        </w:rPr>
        <w:t>%；卫生健康支出</w:t>
      </w:r>
      <w:r>
        <w:rPr>
          <w:rFonts w:hint="eastAsia" w:ascii="仿宋" w:hAnsi="仿宋" w:eastAsia="仿宋" w:cs="仿宋"/>
          <w:lang w:val="en-US" w:eastAsia="zh-CN"/>
        </w:rPr>
        <w:t>14.82</w:t>
      </w:r>
      <w:r>
        <w:rPr>
          <w:rFonts w:hint="eastAsia" w:ascii="仿宋" w:hAnsi="仿宋" w:eastAsia="仿宋" w:cs="仿宋"/>
        </w:rPr>
        <w:t>万元，占</w:t>
      </w:r>
      <w:r>
        <w:rPr>
          <w:rFonts w:hint="eastAsia" w:ascii="仿宋" w:hAnsi="仿宋" w:eastAsia="仿宋" w:cs="仿宋"/>
          <w:lang w:val="en-US" w:eastAsia="zh-CN"/>
        </w:rPr>
        <w:t>2.46</w:t>
      </w:r>
      <w:r>
        <w:rPr>
          <w:rFonts w:hint="eastAsia" w:ascii="仿宋" w:hAnsi="仿宋" w:eastAsia="仿宋" w:cs="仿宋"/>
        </w:rPr>
        <w:t>%；住房保障支出</w:t>
      </w:r>
      <w:r>
        <w:rPr>
          <w:rFonts w:hint="eastAsia" w:ascii="仿宋" w:hAnsi="仿宋" w:eastAsia="仿宋" w:cs="仿宋"/>
          <w:lang w:val="en-US" w:eastAsia="zh-CN"/>
        </w:rPr>
        <w:t>20.89</w:t>
      </w:r>
      <w:r>
        <w:rPr>
          <w:rFonts w:hint="eastAsia" w:ascii="仿宋" w:hAnsi="仿宋" w:eastAsia="仿宋" w:cs="仿宋"/>
        </w:rPr>
        <w:t>万元，占</w:t>
      </w:r>
      <w:r>
        <w:rPr>
          <w:rFonts w:hint="eastAsia" w:ascii="仿宋" w:hAnsi="仿宋" w:eastAsia="仿宋" w:cs="仿宋"/>
          <w:lang w:val="en-US" w:eastAsia="zh-CN"/>
        </w:rPr>
        <w:t>3.46</w:t>
      </w:r>
      <w:r>
        <w:rPr>
          <w:rFonts w:hint="eastAsia" w:ascii="仿宋" w:hAnsi="仿宋" w:eastAsia="仿宋" w:cs="仿宋"/>
        </w:rPr>
        <w:t>%。</w:t>
      </w:r>
      <w:r>
        <w:rPr>
          <w:rFonts w:hint="eastAsia" w:ascii="仿宋" w:hAnsi="仿宋" w:eastAsia="仿宋" w:cs="仿宋"/>
          <w:lang w:val="en-US" w:eastAsia="zh-CN"/>
        </w:rPr>
        <w:t>按支出性质和经济分类，</w:t>
      </w:r>
      <w:r>
        <w:rPr>
          <w:rFonts w:hint="eastAsia" w:ascii="仿宋" w:hAnsi="仿宋" w:eastAsia="仿宋" w:cs="仿宋"/>
        </w:rPr>
        <w:t>人员经费支出</w:t>
      </w:r>
      <w:r>
        <w:rPr>
          <w:rFonts w:hint="eastAsia" w:ascii="仿宋" w:hAnsi="仿宋" w:eastAsia="仿宋" w:cs="仿宋"/>
          <w:lang w:val="en-US" w:eastAsia="zh-CN"/>
        </w:rPr>
        <w:t>442.47</w:t>
      </w:r>
      <w:r>
        <w:rPr>
          <w:rFonts w:hint="eastAsia" w:ascii="仿宋" w:hAnsi="仿宋" w:eastAsia="仿宋" w:cs="仿宋"/>
        </w:rPr>
        <w:t>万元，占基本支出的</w:t>
      </w:r>
      <w:r>
        <w:rPr>
          <w:rFonts w:hint="eastAsia" w:ascii="仿宋" w:hAnsi="仿宋" w:eastAsia="仿宋" w:cs="仿宋"/>
          <w:lang w:val="en-US" w:eastAsia="zh-CN"/>
        </w:rPr>
        <w:t>73.18</w:t>
      </w:r>
      <w:r>
        <w:rPr>
          <w:rFonts w:hint="eastAsia" w:ascii="仿宋" w:hAnsi="仿宋" w:eastAsia="仿宋" w:cs="仿宋"/>
        </w:rPr>
        <w:t>%，日常公用经费支出</w:t>
      </w:r>
      <w:r>
        <w:rPr>
          <w:rFonts w:hint="eastAsia" w:ascii="仿宋" w:hAnsi="仿宋" w:eastAsia="仿宋" w:cs="仿宋"/>
          <w:lang w:val="en-US" w:eastAsia="zh-CN"/>
        </w:rPr>
        <w:t>162.18</w:t>
      </w:r>
      <w:r>
        <w:rPr>
          <w:rFonts w:hint="eastAsia" w:ascii="仿宋" w:hAnsi="仿宋" w:eastAsia="仿宋" w:cs="仿宋"/>
        </w:rPr>
        <w:t>万元，占基本支出的</w:t>
      </w:r>
      <w:r>
        <w:rPr>
          <w:rFonts w:hint="eastAsia" w:ascii="仿宋" w:hAnsi="仿宋" w:eastAsia="仿宋" w:cs="仿宋"/>
          <w:lang w:val="en-US" w:eastAsia="zh-CN"/>
        </w:rPr>
        <w:t>26.82</w:t>
      </w:r>
      <w:r>
        <w:rPr>
          <w:rFonts w:hint="eastAsia" w:ascii="仿宋" w:hAnsi="仿宋" w:eastAsia="仿宋" w:cs="仿宋"/>
        </w:rPr>
        <w:t>%。</w:t>
      </w:r>
      <w:bookmarkStart w:id="0" w:name="_GoBack"/>
      <w:bookmarkEnd w:id="0"/>
    </w:p>
    <w:p>
      <w:pPr>
        <w:spacing w:line="580" w:lineRule="exact"/>
        <w:ind w:firstLine="640" w:firstLineChars="200"/>
        <w:contextualSpacing/>
        <w:rPr>
          <w:rFonts w:hint="eastAsia" w:ascii="仿宋" w:hAnsi="仿宋" w:eastAsia="仿宋" w:cs="仿宋"/>
        </w:rPr>
      </w:pPr>
      <w:r>
        <w:rPr>
          <w:rFonts w:hint="eastAsia" w:ascii="仿宋" w:hAnsi="仿宋" w:eastAsia="仿宋" w:cs="仿宋"/>
        </w:rPr>
        <w:t>2、“三公”经费支出情况，“三公”经费年初预算</w:t>
      </w:r>
      <w:r>
        <w:rPr>
          <w:rFonts w:hint="eastAsia" w:ascii="仿宋" w:hAnsi="仿宋" w:eastAsia="仿宋" w:cs="仿宋"/>
          <w:lang w:val="en-US" w:eastAsia="zh-CN"/>
        </w:rPr>
        <w:t>2</w:t>
      </w:r>
      <w:r>
        <w:rPr>
          <w:rFonts w:hint="eastAsia" w:ascii="仿宋" w:hAnsi="仿宋" w:eastAsia="仿宋" w:cs="仿宋"/>
        </w:rPr>
        <w:t>万元，其中公务接待费</w:t>
      </w:r>
      <w:r>
        <w:rPr>
          <w:rFonts w:hint="eastAsia" w:ascii="仿宋" w:hAnsi="仿宋" w:eastAsia="仿宋" w:cs="仿宋"/>
          <w:lang w:val="en-US" w:eastAsia="zh-CN"/>
        </w:rPr>
        <w:t>2</w:t>
      </w:r>
      <w:r>
        <w:rPr>
          <w:rFonts w:hint="eastAsia" w:ascii="仿宋" w:hAnsi="仿宋" w:eastAsia="仿宋" w:cs="仿宋"/>
        </w:rPr>
        <w:t>万元，公务用车运行费</w:t>
      </w:r>
      <w:r>
        <w:rPr>
          <w:rFonts w:hint="eastAsia" w:ascii="仿宋" w:hAnsi="仿宋" w:eastAsia="仿宋" w:cs="仿宋"/>
          <w:lang w:val="en-US" w:eastAsia="zh-CN"/>
        </w:rPr>
        <w:t>0</w:t>
      </w:r>
      <w:r>
        <w:rPr>
          <w:rFonts w:hint="eastAsia" w:ascii="仿宋" w:hAnsi="仿宋" w:eastAsia="仿宋" w:cs="仿宋"/>
        </w:rPr>
        <w:t>万元，出国考察经费</w:t>
      </w:r>
      <w:r>
        <w:rPr>
          <w:rFonts w:hint="eastAsia" w:ascii="仿宋" w:hAnsi="仿宋" w:eastAsia="仿宋" w:cs="仿宋"/>
          <w:lang w:val="en-US" w:eastAsia="zh-CN"/>
        </w:rPr>
        <w:t>0</w:t>
      </w:r>
      <w:r>
        <w:rPr>
          <w:rFonts w:hint="eastAsia" w:ascii="仿宋" w:hAnsi="仿宋" w:eastAsia="仿宋" w:cs="仿宋"/>
        </w:rPr>
        <w:t>万元。实际“三公”经费支出</w:t>
      </w:r>
      <w:r>
        <w:rPr>
          <w:rFonts w:hint="eastAsia" w:ascii="仿宋" w:hAnsi="仿宋" w:eastAsia="仿宋" w:cs="仿宋"/>
          <w:lang w:val="en-US" w:eastAsia="zh-CN"/>
        </w:rPr>
        <w:t>2.46</w:t>
      </w:r>
      <w:r>
        <w:rPr>
          <w:rFonts w:hint="eastAsia" w:ascii="仿宋" w:hAnsi="仿宋" w:eastAsia="仿宋" w:cs="仿宋"/>
        </w:rPr>
        <w:t>万元，占年初预算的</w:t>
      </w:r>
      <w:r>
        <w:rPr>
          <w:rFonts w:hint="eastAsia" w:ascii="仿宋" w:hAnsi="仿宋" w:eastAsia="仿宋" w:cs="仿宋"/>
          <w:lang w:val="en-US" w:eastAsia="zh-CN"/>
        </w:rPr>
        <w:t>123</w:t>
      </w:r>
      <w:r>
        <w:rPr>
          <w:rFonts w:hint="eastAsia" w:ascii="仿宋" w:hAnsi="仿宋" w:eastAsia="仿宋" w:cs="仿宋"/>
        </w:rPr>
        <w:t>%，其中公务接待费</w:t>
      </w:r>
      <w:r>
        <w:rPr>
          <w:rFonts w:hint="eastAsia" w:ascii="仿宋" w:hAnsi="仿宋" w:eastAsia="仿宋" w:cs="仿宋"/>
          <w:lang w:val="en-US" w:eastAsia="zh-CN"/>
        </w:rPr>
        <w:t>2.46</w:t>
      </w:r>
      <w:r>
        <w:rPr>
          <w:rFonts w:hint="eastAsia" w:ascii="仿宋" w:hAnsi="仿宋" w:eastAsia="仿宋" w:cs="仿宋"/>
        </w:rPr>
        <w:t>万元，占年初预算的</w:t>
      </w:r>
      <w:r>
        <w:rPr>
          <w:rFonts w:hint="eastAsia" w:ascii="仿宋" w:hAnsi="仿宋" w:eastAsia="仿宋" w:cs="仿宋"/>
          <w:lang w:val="en-US" w:eastAsia="zh-CN"/>
        </w:rPr>
        <w:t>123</w:t>
      </w:r>
      <w:r>
        <w:rPr>
          <w:rFonts w:hint="eastAsia" w:ascii="仿宋" w:hAnsi="仿宋" w:eastAsia="仿宋" w:cs="仿宋"/>
        </w:rPr>
        <w:t>%，公务用车运行费</w:t>
      </w:r>
      <w:r>
        <w:rPr>
          <w:rFonts w:hint="eastAsia" w:ascii="仿宋" w:hAnsi="仿宋" w:eastAsia="仿宋" w:cs="仿宋"/>
          <w:lang w:val="en-US" w:eastAsia="zh-CN"/>
        </w:rPr>
        <w:t>0</w:t>
      </w:r>
      <w:r>
        <w:rPr>
          <w:rFonts w:hint="eastAsia" w:ascii="仿宋" w:hAnsi="仿宋" w:eastAsia="仿宋" w:cs="仿宋"/>
        </w:rPr>
        <w:t>万元，占年初预算的</w:t>
      </w:r>
      <w:r>
        <w:rPr>
          <w:rFonts w:hint="eastAsia" w:ascii="仿宋" w:hAnsi="仿宋" w:eastAsia="仿宋" w:cs="仿宋"/>
          <w:lang w:val="en-US" w:eastAsia="zh-CN"/>
        </w:rPr>
        <w:t>0</w:t>
      </w:r>
      <w:r>
        <w:rPr>
          <w:rFonts w:hint="eastAsia" w:ascii="仿宋" w:hAnsi="仿宋" w:eastAsia="仿宋" w:cs="仿宋"/>
        </w:rPr>
        <w:t>%，出国考察</w:t>
      </w:r>
      <w:r>
        <w:rPr>
          <w:rFonts w:hint="eastAsia" w:ascii="仿宋" w:hAnsi="仿宋" w:eastAsia="仿宋" w:cs="仿宋"/>
          <w:lang w:val="en-US" w:eastAsia="zh-CN"/>
        </w:rPr>
        <w:t>0</w:t>
      </w:r>
      <w:r>
        <w:rPr>
          <w:rFonts w:hint="eastAsia" w:ascii="仿宋" w:hAnsi="仿宋" w:eastAsia="仿宋" w:cs="仿宋"/>
        </w:rPr>
        <w:t>万元，占年初预算</w:t>
      </w:r>
      <w:r>
        <w:rPr>
          <w:rFonts w:hint="eastAsia" w:ascii="仿宋" w:hAnsi="仿宋" w:eastAsia="仿宋" w:cs="仿宋"/>
          <w:lang w:val="en-US" w:eastAsia="zh-CN"/>
        </w:rPr>
        <w:t>0</w:t>
      </w:r>
      <w:r>
        <w:rPr>
          <w:rFonts w:hint="eastAsia" w:ascii="仿宋" w:hAnsi="仿宋" w:eastAsia="仿宋" w:cs="仿宋"/>
        </w:rPr>
        <w:t>%。“三公经费”结余</w:t>
      </w:r>
      <w:r>
        <w:rPr>
          <w:rFonts w:hint="eastAsia" w:ascii="仿宋" w:hAnsi="仿宋" w:eastAsia="仿宋" w:cs="仿宋"/>
          <w:lang w:val="en-US" w:eastAsia="zh-CN"/>
        </w:rPr>
        <w:t>0</w:t>
      </w:r>
      <w:r>
        <w:rPr>
          <w:rFonts w:hint="eastAsia" w:ascii="仿宋" w:hAnsi="仿宋" w:eastAsia="仿宋" w:cs="仿宋"/>
        </w:rPr>
        <w:t>万元，结余率</w:t>
      </w:r>
      <w:r>
        <w:rPr>
          <w:rFonts w:hint="eastAsia" w:ascii="仿宋" w:hAnsi="仿宋" w:eastAsia="仿宋" w:cs="仿宋"/>
          <w:lang w:val="en-US" w:eastAsia="zh-CN"/>
        </w:rPr>
        <w:t>0</w:t>
      </w:r>
      <w:r>
        <w:rPr>
          <w:rFonts w:hint="eastAsia" w:ascii="仿宋" w:hAnsi="仿宋" w:eastAsia="仿宋" w:cs="仿宋"/>
        </w:rPr>
        <w:t>%。</w:t>
      </w:r>
    </w:p>
    <w:p>
      <w:pPr>
        <w:spacing w:line="580" w:lineRule="exact"/>
        <w:ind w:firstLine="640" w:firstLineChars="200"/>
        <w:contextualSpacing/>
        <w:rPr>
          <w:rFonts w:hint="eastAsia" w:ascii="仿宋" w:hAnsi="仿宋" w:eastAsia="仿宋" w:cs="仿宋"/>
        </w:rPr>
      </w:pPr>
      <w:r>
        <w:rPr>
          <w:rFonts w:hint="eastAsia" w:ascii="仿宋" w:hAnsi="仿宋" w:eastAsia="仿宋" w:cs="仿宋"/>
        </w:rPr>
        <w:t>3、资金管理情况(内部管理制度措施)</w:t>
      </w:r>
    </w:p>
    <w:p>
      <w:pPr>
        <w:spacing w:line="500" w:lineRule="exact"/>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我</w:t>
      </w:r>
      <w:r>
        <w:rPr>
          <w:rFonts w:hint="eastAsia" w:ascii="仿宋" w:hAnsi="仿宋" w:eastAsia="仿宋" w:cs="仿宋"/>
          <w:spacing w:val="0"/>
          <w:sz w:val="32"/>
          <w:szCs w:val="32"/>
          <w:lang w:eastAsia="zh-CN"/>
        </w:rPr>
        <w:t>办</w:t>
      </w:r>
      <w:r>
        <w:rPr>
          <w:rFonts w:hint="eastAsia" w:ascii="仿宋" w:hAnsi="仿宋" w:eastAsia="仿宋" w:cs="仿宋"/>
          <w:spacing w:val="0"/>
          <w:sz w:val="32"/>
          <w:szCs w:val="32"/>
        </w:rPr>
        <w:t>本年度进一步加强了《党政机关厉行节约反对浪费条例》的执行，“坚持依法依规，坚持从严从简，严格按程序办事”的思想理念进一步得到了加强，从预算配置方面即对本年公务接待费、办公费、会议费进行了减少和控制；在预算管理过程中，倡导各</w:t>
      </w:r>
      <w:r>
        <w:rPr>
          <w:rFonts w:hint="eastAsia" w:ascii="仿宋" w:hAnsi="仿宋" w:eastAsia="仿宋" w:cs="仿宋"/>
          <w:spacing w:val="0"/>
          <w:sz w:val="32"/>
          <w:szCs w:val="32"/>
          <w:lang w:eastAsia="zh-CN"/>
        </w:rPr>
        <w:t>委室</w:t>
      </w:r>
      <w:r>
        <w:rPr>
          <w:rFonts w:hint="eastAsia" w:ascii="仿宋" w:hAnsi="仿宋" w:eastAsia="仿宋" w:cs="仿宋"/>
          <w:spacing w:val="0"/>
          <w:sz w:val="32"/>
          <w:szCs w:val="32"/>
        </w:rPr>
        <w:t>从实际出发安排公务活动，取消不必要的公务活动。</w:t>
      </w:r>
    </w:p>
    <w:p>
      <w:pPr>
        <w:spacing w:line="500" w:lineRule="exact"/>
        <w:ind w:firstLine="640" w:firstLineChars="200"/>
        <w:rPr>
          <w:rFonts w:hint="eastAsia" w:ascii="仿宋" w:hAnsi="仿宋" w:eastAsia="仿宋" w:cs="仿宋"/>
          <w:spacing w:val="0"/>
          <w:sz w:val="32"/>
          <w:szCs w:val="32"/>
        </w:rPr>
      </w:pPr>
      <w:r>
        <w:rPr>
          <w:rFonts w:hint="eastAsia" w:ascii="仿宋" w:hAnsi="仿宋" w:eastAsia="仿宋" w:cs="仿宋"/>
          <w:color w:val="000000"/>
          <w:spacing w:val="0"/>
          <w:sz w:val="32"/>
          <w:szCs w:val="32"/>
          <w:shd w:val="clear" w:color="auto" w:fill="FFFFFF"/>
          <w:lang w:val="en-US" w:eastAsia="zh-CN"/>
        </w:rPr>
        <w:t>2、</w:t>
      </w:r>
      <w:r>
        <w:rPr>
          <w:rFonts w:hint="eastAsia" w:ascii="仿宋" w:hAnsi="仿宋" w:eastAsia="仿宋" w:cs="仿宋"/>
          <w:color w:val="000000"/>
          <w:spacing w:val="0"/>
          <w:sz w:val="32"/>
          <w:szCs w:val="32"/>
          <w:shd w:val="clear" w:color="auto" w:fill="FFFFFF"/>
        </w:rPr>
        <w:t>精简了各类发文</w:t>
      </w:r>
      <w:r>
        <w:rPr>
          <w:rFonts w:hint="eastAsia" w:ascii="仿宋" w:hAnsi="仿宋" w:eastAsia="仿宋" w:cs="仿宋"/>
          <w:spacing w:val="0"/>
          <w:sz w:val="32"/>
          <w:szCs w:val="32"/>
        </w:rPr>
        <w:t>，</w:t>
      </w:r>
      <w:r>
        <w:rPr>
          <w:rFonts w:hint="eastAsia" w:ascii="仿宋" w:hAnsi="仿宋" w:eastAsia="仿宋" w:cs="仿宋"/>
          <w:color w:val="000000"/>
          <w:spacing w:val="0"/>
          <w:sz w:val="32"/>
          <w:szCs w:val="32"/>
          <w:shd w:val="clear" w:color="auto" w:fill="FFFFFF"/>
        </w:rPr>
        <w:t>减少文件数量。</w:t>
      </w:r>
      <w:r>
        <w:rPr>
          <w:rFonts w:hint="eastAsia" w:ascii="仿宋" w:hAnsi="仿宋" w:eastAsia="仿宋" w:cs="仿宋"/>
          <w:spacing w:val="0"/>
          <w:sz w:val="32"/>
          <w:szCs w:val="32"/>
        </w:rPr>
        <w:t>根据文件类别和性质，</w:t>
      </w:r>
      <w:r>
        <w:rPr>
          <w:rFonts w:hint="eastAsia" w:ascii="仿宋" w:hAnsi="仿宋" w:eastAsia="仿宋" w:cs="仿宋"/>
          <w:color w:val="000000"/>
          <w:spacing w:val="0"/>
          <w:sz w:val="32"/>
          <w:szCs w:val="32"/>
          <w:shd w:val="clear" w:color="auto" w:fill="FFFFFF"/>
        </w:rPr>
        <w:t>对上级党委、政府的普发性文件，采用复印或</w:t>
      </w:r>
      <w:r>
        <w:rPr>
          <w:rFonts w:hint="eastAsia" w:ascii="仿宋" w:hAnsi="仿宋" w:eastAsia="仿宋" w:cs="仿宋"/>
          <w:spacing w:val="0"/>
          <w:sz w:val="32"/>
          <w:szCs w:val="32"/>
        </w:rPr>
        <w:t>扫描件形式</w:t>
      </w:r>
      <w:r>
        <w:rPr>
          <w:rFonts w:hint="eastAsia" w:ascii="仿宋" w:hAnsi="仿宋" w:eastAsia="仿宋" w:cs="仿宋"/>
          <w:color w:val="000000"/>
          <w:spacing w:val="0"/>
          <w:sz w:val="32"/>
          <w:szCs w:val="32"/>
          <w:shd w:val="clear" w:color="auto" w:fill="FFFFFF"/>
        </w:rPr>
        <w:t>布置</w:t>
      </w:r>
      <w:r>
        <w:rPr>
          <w:rFonts w:hint="eastAsia" w:ascii="仿宋" w:hAnsi="仿宋" w:eastAsia="仿宋" w:cs="仿宋"/>
          <w:spacing w:val="0"/>
          <w:sz w:val="32"/>
          <w:szCs w:val="32"/>
        </w:rPr>
        <w:t>；对一般性工作通知和要求</w:t>
      </w:r>
      <w:r>
        <w:rPr>
          <w:rFonts w:hint="eastAsia" w:ascii="仿宋" w:hAnsi="仿宋" w:eastAsia="仿宋" w:cs="仿宋"/>
          <w:color w:val="000000"/>
          <w:spacing w:val="0"/>
          <w:sz w:val="32"/>
          <w:szCs w:val="32"/>
          <w:shd w:val="clear" w:color="auto" w:fill="FFFFFF"/>
        </w:rPr>
        <w:t>，能通过电话、网站解决问题的不印发文件。</w:t>
      </w:r>
      <w:r>
        <w:rPr>
          <w:rFonts w:hint="eastAsia" w:ascii="仿宋" w:hAnsi="仿宋" w:eastAsia="仿宋" w:cs="仿宋"/>
          <w:spacing w:val="0"/>
          <w:sz w:val="32"/>
          <w:szCs w:val="32"/>
        </w:rPr>
        <w:t>同时加强对办公耗材的管理，纸张提倡双面打印或复印等。</w:t>
      </w:r>
    </w:p>
    <w:p>
      <w:pPr>
        <w:spacing w:line="580" w:lineRule="exact"/>
        <w:ind w:firstLine="643" w:firstLineChars="200"/>
        <w:contextualSpacing/>
      </w:pPr>
      <w:r>
        <w:rPr>
          <w:rFonts w:hint="eastAsia"/>
          <w:b/>
          <w:bCs/>
        </w:rPr>
        <w:t>四、整体支出绩效目标完成情况</w:t>
      </w:r>
      <w:r>
        <w:rPr>
          <w:rFonts w:hint="eastAsia"/>
        </w:rPr>
        <w:t xml:space="preserve">  </w:t>
      </w:r>
    </w:p>
    <w:p>
      <w:pPr>
        <w:spacing w:line="580" w:lineRule="exact"/>
        <w:ind w:firstLine="640" w:firstLineChars="200"/>
        <w:contextualSpacing/>
        <w:rPr>
          <w:rFonts w:hint="eastAsia" w:ascii="仿宋" w:hAnsi="仿宋" w:eastAsia="仿宋" w:cs="仿宋"/>
          <w:sz w:val="32"/>
          <w:szCs w:val="32"/>
          <w:lang w:eastAsia="zh-CN"/>
        </w:rPr>
      </w:pPr>
      <w:r>
        <w:rPr>
          <w:rFonts w:hint="eastAsia" w:ascii="仿宋" w:hAnsi="仿宋" w:eastAsia="仿宋" w:cs="仿宋"/>
          <w:sz w:val="32"/>
          <w:szCs w:val="32"/>
        </w:rPr>
        <w:t>组织开展整体支出绩效评价，202</w:t>
      </w:r>
      <w:r>
        <w:rPr>
          <w:rFonts w:hint="eastAsia" w:ascii="仿宋" w:hAnsi="仿宋" w:eastAsia="仿宋" w:cs="仿宋"/>
          <w:sz w:val="32"/>
          <w:szCs w:val="32"/>
          <w:lang w:val="en-US" w:eastAsia="zh-CN"/>
        </w:rPr>
        <w:t>1</w:t>
      </w:r>
      <w:r>
        <w:rPr>
          <w:rFonts w:hint="eastAsia" w:ascii="仿宋" w:hAnsi="仿宋" w:eastAsia="仿宋" w:cs="仿宋"/>
          <w:sz w:val="32"/>
          <w:szCs w:val="32"/>
        </w:rPr>
        <w:t>年，我单位积极履职，强化管理，较好地完成了年度目标。通过加强预算收支管理，不断健全内部管理制度，梳理内部管理流程，部门整体支出管理水平得到提升。根据部门整体支出绩效评价指标体系，202</w:t>
      </w:r>
      <w:r>
        <w:rPr>
          <w:rFonts w:hint="eastAsia" w:ascii="仿宋" w:hAnsi="仿宋" w:eastAsia="仿宋" w:cs="仿宋"/>
          <w:sz w:val="32"/>
          <w:szCs w:val="32"/>
          <w:lang w:val="en-US" w:eastAsia="zh-CN"/>
        </w:rPr>
        <w:t>1</w:t>
      </w:r>
      <w:r>
        <w:rPr>
          <w:rFonts w:hint="eastAsia" w:ascii="仿宋" w:hAnsi="仿宋" w:eastAsia="仿宋" w:cs="仿宋"/>
          <w:sz w:val="32"/>
          <w:szCs w:val="32"/>
        </w:rPr>
        <w:t>年我单位整体支出绩效评价得分为</w:t>
      </w:r>
      <w:r>
        <w:rPr>
          <w:rFonts w:hint="eastAsia" w:ascii="仿宋" w:hAnsi="仿宋" w:eastAsia="仿宋" w:cs="仿宋"/>
          <w:sz w:val="32"/>
          <w:szCs w:val="32"/>
          <w:lang w:val="en-US" w:eastAsia="zh-CN"/>
        </w:rPr>
        <w:t>99</w:t>
      </w:r>
      <w:r>
        <w:rPr>
          <w:rFonts w:hint="eastAsia" w:ascii="仿宋" w:hAnsi="仿宋" w:eastAsia="仿宋" w:cs="仿宋"/>
          <w:sz w:val="32"/>
          <w:szCs w:val="32"/>
        </w:rPr>
        <w:t>分，部门整体支出绩效为“优”。</w:t>
      </w:r>
    </w:p>
    <w:p>
      <w:pPr>
        <w:numPr>
          <w:ilvl w:val="0"/>
          <w:numId w:val="2"/>
        </w:numPr>
        <w:spacing w:line="580" w:lineRule="exact"/>
        <w:ind w:firstLine="643" w:firstLineChars="200"/>
        <w:contextualSpacing/>
        <w:rPr>
          <w:rFonts w:hint="eastAsia"/>
          <w:b/>
          <w:bCs/>
        </w:rPr>
      </w:pPr>
      <w:r>
        <w:rPr>
          <w:rFonts w:hint="eastAsia"/>
          <w:b/>
          <w:bCs/>
        </w:rPr>
        <w:t>存在的问题</w:t>
      </w:r>
    </w:p>
    <w:p>
      <w:pPr>
        <w:spacing w:line="580" w:lineRule="exact"/>
        <w:ind w:firstLine="640" w:firstLineChars="200"/>
        <w:contextualSpacing/>
        <w:rPr>
          <w:rFonts w:hint="eastAsia"/>
          <w:b/>
          <w:bCs/>
        </w:rPr>
      </w:pPr>
      <w:r>
        <w:rPr>
          <w:rFonts w:hint="eastAsia" w:ascii="仿宋" w:hAnsi="仿宋" w:eastAsia="仿宋" w:cs="仿宋"/>
          <w:sz w:val="32"/>
          <w:szCs w:val="32"/>
        </w:rPr>
        <w:t>对照部门整体支出绩效评价指标标准和我单位自评得分，反映出在整体支出的预算编制、执行和管理过程中，存在一些问题和不足主要是年初预算编制前瞻性偏低，造成预算执行偏低。</w:t>
      </w:r>
    </w:p>
    <w:p>
      <w:pPr>
        <w:numPr>
          <w:ilvl w:val="0"/>
          <w:numId w:val="2"/>
        </w:numPr>
        <w:spacing w:line="580" w:lineRule="exact"/>
        <w:ind w:left="0" w:leftChars="0" w:firstLine="643" w:firstLineChars="200"/>
        <w:contextualSpacing/>
        <w:rPr>
          <w:rFonts w:hint="eastAsia"/>
          <w:b/>
          <w:bCs/>
        </w:rPr>
      </w:pPr>
      <w:r>
        <w:rPr>
          <w:rFonts w:hint="eastAsia"/>
          <w:b/>
          <w:bCs/>
        </w:rPr>
        <w:t>改进措施与建议</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为保证预算编制的质量，在编制预算中，本单位遵循下列原则：合法性原则、完整性原则、真实性原则、稳妥性原则、绩效性原则。</w:t>
      </w:r>
    </w:p>
    <w:p>
      <w:pPr>
        <w:spacing w:line="580" w:lineRule="exact"/>
        <w:contextualSpacing/>
      </w:pP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58C7D"/>
    <w:multiLevelType w:val="singleLevel"/>
    <w:tmpl w:val="AF258C7D"/>
    <w:lvl w:ilvl="0" w:tentative="0">
      <w:start w:val="5"/>
      <w:numFmt w:val="chineseCounting"/>
      <w:suff w:val="nothing"/>
      <w:lvlText w:val="%1、"/>
      <w:lvlJc w:val="left"/>
      <w:rPr>
        <w:rFonts w:hint="eastAsia"/>
      </w:rPr>
    </w:lvl>
  </w:abstractNum>
  <w:abstractNum w:abstractNumId="1">
    <w:nsid w:val="4E9F95B4"/>
    <w:multiLevelType w:val="singleLevel"/>
    <w:tmpl w:val="4E9F95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lZjk2ODIxNDE2OWVkYmI5OThlYzRlYzdjMGIyYjIifQ=="/>
  </w:docVars>
  <w:rsids>
    <w:rsidRoot w:val="00000000"/>
    <w:rsid w:val="15A06A4C"/>
    <w:rsid w:val="18411FD4"/>
    <w:rsid w:val="1A960A67"/>
    <w:rsid w:val="2AE62C6E"/>
    <w:rsid w:val="40602442"/>
    <w:rsid w:val="42B1108C"/>
    <w:rsid w:val="4EED3E9C"/>
    <w:rsid w:val="5255051D"/>
    <w:rsid w:val="54EB29EE"/>
    <w:rsid w:val="58A234AB"/>
    <w:rsid w:val="5A4C18EF"/>
    <w:rsid w:val="5F7C52B9"/>
    <w:rsid w:val="66FF7D39"/>
    <w:rsid w:val="6D2253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12</Pages>
  <Words>6107</Words>
  <Characters>6502</Characters>
  <Lines>0</Lines>
  <Paragraphs>120</Paragraphs>
  <TotalTime>118</TotalTime>
  <ScaleCrop>false</ScaleCrop>
  <LinksUpToDate>false</LinksUpToDate>
  <CharactersWithSpaces>7011</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2022-06-02T07:56:24Z</cp:lastPrinted>
  <dcterms:modified xsi:type="dcterms:W3CDTF">2022-06-02T08:09:47Z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2D1543CEAD934CE2812D86677092E9F7</vt:lpwstr>
  </property>
</Properties>
</file>