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B" w:rsidRDefault="00E14B4B" w:rsidP="00E14B4B">
      <w:pPr>
        <w:spacing w:line="560" w:lineRule="exact"/>
        <w:rPr>
          <w:rFonts w:ascii="黑体" w:eastAsia="黑体"/>
        </w:rPr>
      </w:pPr>
      <w:r>
        <w:rPr>
          <w:rFonts w:ascii="黑体" w:eastAsia="黑体"/>
        </w:rPr>
        <w:t>附件</w:t>
      </w:r>
      <w:r>
        <w:rPr>
          <w:rFonts w:ascii="黑体" w:eastAsia="黑体" w:hint="eastAsia"/>
        </w:rPr>
        <w:t>1</w:t>
      </w:r>
    </w:p>
    <w:p w:rsidR="00E14B4B" w:rsidRDefault="00E14B4B" w:rsidP="00E14B4B">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tblPr>
      <w:tblGrid>
        <w:gridCol w:w="517"/>
        <w:gridCol w:w="456"/>
        <w:gridCol w:w="672"/>
        <w:gridCol w:w="456"/>
        <w:gridCol w:w="1003"/>
        <w:gridCol w:w="456"/>
        <w:gridCol w:w="2972"/>
        <w:gridCol w:w="3435"/>
        <w:gridCol w:w="633"/>
      </w:tblGrid>
      <w:tr w:rsidR="00E14B4B" w:rsidTr="00531062">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三级</w:t>
            </w:r>
          </w:p>
          <w:p w:rsidR="00E14B4B" w:rsidRDefault="00E14B4B" w:rsidP="00531062">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得分</w:t>
            </w:r>
          </w:p>
        </w:tc>
      </w:tr>
      <w:tr w:rsidR="00E14B4B" w:rsidTr="00531062">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27806">
              <w:rPr>
                <w:rFonts w:ascii="仿宋" w:eastAsia="仿宋" w:hint="eastAsia"/>
                <w:sz w:val="24"/>
                <w:szCs w:val="24"/>
              </w:rPr>
              <w:t>5</w:t>
            </w:r>
          </w:p>
        </w:tc>
      </w:tr>
      <w:tr w:rsidR="00E14B4B" w:rsidTr="00531062">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2668CC">
            <w:pPr>
              <w:widowControl/>
              <w:jc w:val="left"/>
              <w:rPr>
                <w:rFonts w:ascii="仿宋" w:eastAsia="仿宋"/>
                <w:sz w:val="24"/>
                <w:szCs w:val="24"/>
              </w:rPr>
            </w:pPr>
            <w:r>
              <w:rPr>
                <w:rFonts w:ascii="仿宋" w:eastAsia="仿宋"/>
                <w:sz w:val="24"/>
                <w:szCs w:val="24"/>
              </w:rPr>
              <w:t xml:space="preserve">　</w:t>
            </w:r>
            <w:r w:rsidR="002668CC">
              <w:rPr>
                <w:rFonts w:ascii="仿宋" w:eastAsia="仿宋" w:hint="eastAsia"/>
                <w:sz w:val="24"/>
                <w:szCs w:val="24"/>
              </w:rPr>
              <w:t>4</w:t>
            </w:r>
          </w:p>
        </w:tc>
      </w:tr>
      <w:tr w:rsidR="00E14B4B" w:rsidTr="00531062">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95420C">
            <w:pPr>
              <w:widowControl/>
              <w:jc w:val="left"/>
              <w:rPr>
                <w:rFonts w:ascii="仿宋" w:eastAsia="仿宋"/>
                <w:sz w:val="24"/>
                <w:szCs w:val="24"/>
              </w:rPr>
            </w:pPr>
            <w:r>
              <w:rPr>
                <w:rFonts w:ascii="仿宋" w:eastAsia="仿宋"/>
                <w:sz w:val="24"/>
                <w:szCs w:val="24"/>
              </w:rPr>
              <w:t xml:space="preserve">　</w:t>
            </w:r>
            <w:r w:rsidR="0095420C">
              <w:rPr>
                <w:rFonts w:ascii="仿宋" w:eastAsia="仿宋" w:hint="eastAsia"/>
                <w:sz w:val="24"/>
                <w:szCs w:val="24"/>
              </w:rPr>
              <w:t>8</w:t>
            </w:r>
          </w:p>
        </w:tc>
      </w:tr>
      <w:tr w:rsidR="00E14B4B" w:rsidTr="00531062">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5D4D40" w:rsidP="00531062">
            <w:pPr>
              <w:widowControl/>
              <w:jc w:val="left"/>
              <w:rPr>
                <w:rFonts w:ascii="仿宋" w:eastAsia="仿宋"/>
                <w:sz w:val="24"/>
                <w:szCs w:val="24"/>
              </w:rPr>
            </w:pPr>
            <w:r>
              <w:rPr>
                <w:rFonts w:ascii="仿宋" w:eastAsia="仿宋" w:hint="eastAsia"/>
                <w:sz w:val="24"/>
                <w:szCs w:val="24"/>
              </w:rPr>
              <w:t>7</w:t>
            </w:r>
          </w:p>
        </w:tc>
      </w:tr>
      <w:tr w:rsidR="00E14B4B" w:rsidTr="00531062">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r w:rsidR="00E14B4B" w:rsidTr="00531062">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w:t>
            </w:r>
            <w:proofErr w:type="gramStart"/>
            <w:r>
              <w:rPr>
                <w:rFonts w:ascii="仿宋" w:eastAsia="仿宋"/>
                <w:sz w:val="24"/>
                <w:szCs w:val="24"/>
              </w:rPr>
              <w:t>规</w:t>
            </w:r>
            <w:proofErr w:type="gramEnd"/>
            <w:r>
              <w:rPr>
                <w:rFonts w:ascii="仿宋" w:eastAsia="仿宋"/>
                <w:sz w:val="24"/>
                <w:szCs w:val="24"/>
              </w:rPr>
              <w:t>、完整，2分；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8</w:t>
            </w:r>
          </w:p>
        </w:tc>
      </w:tr>
      <w:tr w:rsidR="00E14B4B" w:rsidTr="00531062">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资金使用合</w:t>
            </w:r>
            <w:proofErr w:type="gramStart"/>
            <w:r>
              <w:rPr>
                <w:rFonts w:ascii="仿宋" w:eastAsia="仿宋"/>
                <w:sz w:val="24"/>
                <w:szCs w:val="24"/>
              </w:rPr>
              <w:t>规</w:t>
            </w:r>
            <w:proofErr w:type="gramEnd"/>
            <w:r>
              <w:rPr>
                <w:rFonts w:ascii="仿宋" w:eastAsia="仿宋"/>
                <w:sz w:val="24"/>
                <w:szCs w:val="24"/>
              </w:rPr>
              <w:t>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产出及</w:t>
            </w:r>
            <w:r>
              <w:rPr>
                <w:rFonts w:ascii="仿宋" w:eastAsia="仿宋"/>
                <w:sz w:val="24"/>
                <w:szCs w:val="24"/>
              </w:rPr>
              <w:lastRenderedPageBreak/>
              <w:t>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职责履</w:t>
            </w:r>
            <w:r>
              <w:rPr>
                <w:rFonts w:ascii="仿宋" w:eastAsia="仿宋"/>
                <w:sz w:val="24"/>
                <w:szCs w:val="24"/>
              </w:rPr>
              <w:lastRenderedPageBreak/>
              <w:t>行</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w:t>
            </w:r>
            <w:r>
              <w:rPr>
                <w:rFonts w:ascii="仿宋" w:eastAsia="仿宋"/>
                <w:sz w:val="24"/>
                <w:szCs w:val="24"/>
              </w:rPr>
              <w:lastRenderedPageBreak/>
              <w:t>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8</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E14B4B" w:rsidRDefault="00E14B4B" w:rsidP="00531062"/>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E14B4B" w:rsidRDefault="00E14B4B" w:rsidP="00531062"/>
        </w:tc>
        <w:tc>
          <w:tcPr>
            <w:tcW w:w="637" w:type="dxa"/>
            <w:tcBorders>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10</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E14B4B" w:rsidRDefault="008C7F4E" w:rsidP="00531062">
            <w:pPr>
              <w:widowControl/>
              <w:jc w:val="left"/>
              <w:rPr>
                <w:rFonts w:ascii="仿宋" w:eastAsia="仿宋"/>
                <w:sz w:val="24"/>
                <w:szCs w:val="24"/>
              </w:rPr>
            </w:pPr>
            <w:r>
              <w:rPr>
                <w:rFonts w:ascii="仿宋" w:eastAsia="仿宋" w:hint="eastAsia"/>
                <w:sz w:val="24"/>
                <w:szCs w:val="24"/>
              </w:rPr>
              <w:t>6</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bl>
    <w:p w:rsidR="00D9287C" w:rsidRDefault="00E14B4B" w:rsidP="00D9287C">
      <w:pPr>
        <w:spacing w:line="560" w:lineRule="exact"/>
        <w:rPr>
          <w:rFonts w:ascii="黑体" w:eastAsia="黑体"/>
          <w:sz w:val="28"/>
          <w:szCs w:val="28"/>
        </w:rPr>
      </w:pPr>
      <w:r>
        <w:rPr>
          <w:rFonts w:ascii="仿宋" w:eastAsia="仿宋"/>
        </w:rPr>
        <w:br w:type="page"/>
      </w:r>
      <w:r w:rsidR="00D9287C">
        <w:rPr>
          <w:rFonts w:ascii="黑体" w:eastAsia="黑体"/>
        </w:rPr>
        <w:lastRenderedPageBreak/>
        <w:t>附件</w:t>
      </w:r>
      <w:r w:rsidR="00D9287C">
        <w:rPr>
          <w:rFonts w:ascii="黑体" w:eastAsia="黑体" w:hint="eastAsia"/>
        </w:rPr>
        <w:t>2</w:t>
      </w:r>
    </w:p>
    <w:p w:rsidR="00D9287C" w:rsidRDefault="00D9287C" w:rsidP="00D9287C">
      <w:pPr>
        <w:spacing w:line="560" w:lineRule="exact"/>
        <w:jc w:val="center"/>
        <w:rPr>
          <w:rFonts w:ascii="仿宋" w:eastAsia="仿宋"/>
          <w:sz w:val="36"/>
          <w:szCs w:val="36"/>
        </w:rPr>
      </w:pPr>
      <w:r>
        <w:rPr>
          <w:rFonts w:ascii="仿宋" w:eastAsia="仿宋"/>
          <w:sz w:val="36"/>
          <w:szCs w:val="36"/>
        </w:rPr>
        <w:t>部门整体支出绩效评价基础数据表</w:t>
      </w:r>
    </w:p>
    <w:p w:rsidR="00D9287C" w:rsidRDefault="00D9287C" w:rsidP="00D9287C">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D9287C" w:rsidTr="0067031A">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控制率</w:t>
            </w:r>
          </w:p>
        </w:tc>
      </w:tr>
      <w:tr w:rsidR="00D9287C" w:rsidTr="0067031A">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11</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200BAF">
            <w:pPr>
              <w:widowControl/>
              <w:jc w:val="center"/>
              <w:rPr>
                <w:rFonts w:ascii="仿宋" w:eastAsia="仿宋"/>
                <w:sz w:val="24"/>
              </w:rPr>
            </w:pPr>
            <w:r>
              <w:rPr>
                <w:rFonts w:ascii="仿宋" w:eastAsia="仿宋"/>
                <w:sz w:val="24"/>
              </w:rPr>
              <w:t xml:space="preserve">　</w:t>
            </w:r>
            <w:r w:rsidR="00200BAF">
              <w:rPr>
                <w:rFonts w:ascii="仿宋" w:eastAsia="仿宋" w:hint="eastAsia"/>
                <w:sz w:val="24"/>
              </w:rPr>
              <w:t>11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100</w:t>
            </w:r>
            <w:r w:rsidR="00D9287C">
              <w:rPr>
                <w:rFonts w:ascii="仿宋" w:eastAsia="仿宋" w:hint="eastAsia"/>
                <w:sz w:val="24"/>
              </w:rPr>
              <w:t>%</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2021年决算数</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三</w:t>
            </w:r>
            <w:proofErr w:type="gramStart"/>
            <w:r>
              <w:rPr>
                <w:rFonts w:ascii="仿宋" w:eastAsia="仿宋"/>
                <w:sz w:val="24"/>
              </w:rPr>
              <w:t>公经费</w:t>
            </w:r>
            <w:proofErr w:type="gramEnd"/>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0.9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2F7F36">
            <w:pPr>
              <w:widowControl/>
              <w:jc w:val="center"/>
              <w:rPr>
                <w:rFonts w:ascii="仿宋" w:eastAsia="仿宋"/>
                <w:sz w:val="24"/>
              </w:rPr>
            </w:pPr>
            <w:r>
              <w:rPr>
                <w:rFonts w:ascii="仿宋" w:eastAsia="仿宋"/>
                <w:sz w:val="24"/>
              </w:rPr>
              <w:t xml:space="preserve">　</w:t>
            </w:r>
            <w:r w:rsidR="002F7F36">
              <w:rPr>
                <w:rFonts w:ascii="仿宋" w:eastAsia="仿宋" w:hint="eastAsia"/>
                <w:sz w:val="24"/>
              </w:rPr>
              <w:t>1.4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F7F36" w:rsidP="0067031A">
            <w:pPr>
              <w:widowControl/>
              <w:jc w:val="center"/>
              <w:rPr>
                <w:rFonts w:ascii="仿宋" w:eastAsia="仿宋"/>
                <w:sz w:val="24"/>
              </w:rPr>
            </w:pPr>
            <w:r>
              <w:rPr>
                <w:rFonts w:ascii="仿宋" w:eastAsia="仿宋" w:hint="eastAsia"/>
                <w:sz w:val="24"/>
              </w:rPr>
              <w:t>1.28</w:t>
            </w:r>
            <w:r w:rsidR="00D9287C">
              <w:rPr>
                <w:rFonts w:ascii="仿宋" w:eastAsia="仿宋"/>
                <w:sz w:val="24"/>
              </w:rPr>
              <w:t xml:space="preserve">　</w:t>
            </w:r>
          </w:p>
        </w:tc>
      </w:tr>
      <w:tr w:rsidR="00D9287C" w:rsidTr="0067031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0.93</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F7F36" w:rsidP="0067031A">
            <w:pPr>
              <w:widowControl/>
              <w:jc w:val="center"/>
              <w:rPr>
                <w:rFonts w:ascii="仿宋" w:eastAsia="仿宋"/>
                <w:sz w:val="24"/>
              </w:rPr>
            </w:pPr>
            <w:r>
              <w:rPr>
                <w:rFonts w:ascii="仿宋" w:eastAsia="仿宋" w:hint="eastAsia"/>
                <w:sz w:val="24"/>
              </w:rPr>
              <w:t>1.4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F7F36" w:rsidP="0067031A">
            <w:pPr>
              <w:widowControl/>
              <w:jc w:val="center"/>
              <w:rPr>
                <w:rFonts w:ascii="仿宋" w:eastAsia="仿宋"/>
                <w:sz w:val="24"/>
              </w:rPr>
            </w:pPr>
            <w:r>
              <w:rPr>
                <w:rFonts w:ascii="仿宋" w:eastAsia="仿宋" w:hint="eastAsia"/>
                <w:sz w:val="24"/>
              </w:rPr>
              <w:t>1.28</w:t>
            </w:r>
          </w:p>
        </w:tc>
      </w:tr>
      <w:tr w:rsidR="00D9287C" w:rsidTr="0067031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22.55</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200BAF" w:rsidP="0067031A">
            <w:pPr>
              <w:widowControl/>
              <w:jc w:val="center"/>
              <w:rPr>
                <w:rFonts w:ascii="仿宋" w:eastAsia="仿宋"/>
                <w:sz w:val="24"/>
              </w:rPr>
            </w:pPr>
            <w:r>
              <w:rPr>
                <w:rFonts w:ascii="仿宋" w:eastAsia="仿宋" w:hint="eastAsia"/>
                <w:sz w:val="24"/>
              </w:rPr>
              <w:t>29.24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375CE6" w:rsidP="00200BAF">
            <w:pPr>
              <w:widowControl/>
              <w:jc w:val="center"/>
              <w:rPr>
                <w:rFonts w:ascii="仿宋" w:eastAsia="仿宋"/>
                <w:sz w:val="24"/>
              </w:rPr>
            </w:pPr>
            <w:r>
              <w:rPr>
                <w:rFonts w:ascii="仿宋" w:eastAsia="仿宋" w:hint="eastAsia"/>
                <w:sz w:val="24"/>
              </w:rPr>
              <w:t>20.5</w:t>
            </w:r>
          </w:p>
        </w:tc>
      </w:tr>
      <w:tr w:rsidR="00D9287C" w:rsidTr="0067031A">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3.86</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2.11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3.35</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2.04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2.9</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0.3</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D9287C" w:rsidP="0067031A">
            <w:pPr>
              <w:widowControl/>
              <w:jc w:val="center"/>
              <w:rPr>
                <w:rFonts w:ascii="仿宋" w:eastAsia="仿宋"/>
                <w:color w:val="000000" w:themeColor="text1"/>
                <w:sz w:val="24"/>
              </w:rPr>
            </w:pPr>
            <w:r w:rsidRPr="008C7F4E">
              <w:rPr>
                <w:rFonts w:ascii="仿宋" w:eastAsia="仿宋"/>
                <w:color w:val="000000" w:themeColor="text1"/>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Pr="008C7F4E" w:rsidRDefault="00200BAF" w:rsidP="0067031A">
            <w:pPr>
              <w:widowControl/>
              <w:jc w:val="center"/>
              <w:rPr>
                <w:rFonts w:ascii="仿宋" w:eastAsia="仿宋"/>
                <w:color w:val="000000" w:themeColor="text1"/>
                <w:sz w:val="24"/>
              </w:rPr>
            </w:pPr>
            <w:r>
              <w:rPr>
                <w:rFonts w:ascii="仿宋" w:eastAsia="仿宋" w:hint="eastAsia"/>
                <w:color w:val="000000" w:themeColor="text1"/>
                <w:sz w:val="24"/>
              </w:rPr>
              <w:t>0.63</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r>
      <w:tr w:rsidR="00D9287C" w:rsidTr="0067031A">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b/>
                <w:bCs/>
                <w:sz w:val="24"/>
              </w:rPr>
            </w:pPr>
            <w:r>
              <w:rPr>
                <w:rFonts w:ascii="仿宋" w:eastAsia="仿宋"/>
                <w:b/>
                <w:bCs/>
                <w:sz w:val="24"/>
              </w:rPr>
              <w:t>投资概算控制率</w:t>
            </w:r>
          </w:p>
        </w:tc>
      </w:tr>
      <w:tr w:rsidR="00D9287C" w:rsidTr="0067031A">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tc>
        <w:tc>
          <w:tcPr>
            <w:tcW w:w="119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D9287C" w:rsidRDefault="00D9287C" w:rsidP="0067031A">
            <w:pPr>
              <w:widowControl/>
              <w:jc w:val="left"/>
              <w:rPr>
                <w:rFonts w:ascii="仿宋" w:eastAsia="仿宋"/>
                <w:sz w:val="24"/>
              </w:rPr>
            </w:pPr>
            <w:r>
              <w:rPr>
                <w:rFonts w:ascii="仿宋" w:eastAsia="仿宋"/>
                <w:sz w:val="24"/>
              </w:rPr>
              <w:t xml:space="preserve">　</w:t>
            </w:r>
          </w:p>
        </w:tc>
      </w:tr>
      <w:tr w:rsidR="00D9287C" w:rsidTr="0067031A">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D9287C" w:rsidRDefault="00D9287C" w:rsidP="0067031A">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D95F07" w:rsidRPr="003D6A42" w:rsidRDefault="00D9287C" w:rsidP="00D95F07">
            <w:pPr>
              <w:widowControl/>
              <w:jc w:val="left"/>
              <w:rPr>
                <w:color w:val="000000"/>
                <w:sz w:val="24"/>
              </w:rPr>
            </w:pPr>
            <w:r w:rsidRPr="003D6A42">
              <w:rPr>
                <w:rFonts w:hint="eastAsia"/>
                <w:color w:val="000000"/>
                <w:sz w:val="24"/>
              </w:rPr>
              <w:t>一</w:t>
            </w:r>
            <w:r w:rsidR="00D95F07" w:rsidRPr="003D6A42">
              <w:rPr>
                <w:rFonts w:hint="eastAsia"/>
                <w:color w:val="000000"/>
                <w:sz w:val="24"/>
              </w:rPr>
              <w:t>、树立全员节俭意识。</w:t>
            </w:r>
          </w:p>
          <w:p w:rsidR="00D9287C" w:rsidRDefault="00D95F07" w:rsidP="00D95F07">
            <w:pPr>
              <w:widowControl/>
              <w:jc w:val="left"/>
              <w:rPr>
                <w:rFonts w:ascii="仿宋" w:eastAsia="仿宋"/>
                <w:sz w:val="24"/>
              </w:rPr>
            </w:pPr>
            <w:r w:rsidRPr="003D6A42">
              <w:rPr>
                <w:rFonts w:hint="eastAsia"/>
                <w:color w:val="000000"/>
                <w:sz w:val="24"/>
              </w:rPr>
              <w:t>二、严格执行各项财务管理规定，控制经费支出。</w:t>
            </w:r>
            <w:r w:rsidR="00D9287C">
              <w:rPr>
                <w:rFonts w:ascii="仿宋" w:eastAsia="仿宋"/>
                <w:sz w:val="24"/>
              </w:rPr>
              <w:t xml:space="preserve">　</w:t>
            </w:r>
          </w:p>
        </w:tc>
      </w:tr>
    </w:tbl>
    <w:p w:rsidR="00D9287C" w:rsidRDefault="00D9287C" w:rsidP="00D9287C">
      <w:pPr>
        <w:widowControl/>
        <w:jc w:val="left"/>
        <w:rPr>
          <w:rFonts w:ascii="仿宋" w:eastAsia="仿宋"/>
          <w:sz w:val="16"/>
          <w:szCs w:val="16"/>
        </w:rPr>
      </w:pPr>
    </w:p>
    <w:p w:rsidR="00827806" w:rsidRPr="00D9287C" w:rsidRDefault="00D9287C" w:rsidP="00D9287C">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E14B4B" w:rsidRDefault="00E14B4B" w:rsidP="00E14B4B">
      <w:pPr>
        <w:widowControl/>
        <w:ind w:left="93"/>
        <w:jc w:val="left"/>
        <w:rPr>
          <w:rFonts w:ascii="黑体" w:eastAsia="黑体"/>
        </w:rPr>
      </w:pPr>
      <w:bookmarkStart w:id="0" w:name="_GoBack"/>
      <w:bookmarkEnd w:id="0"/>
      <w:r>
        <w:rPr>
          <w:rFonts w:ascii="黑体" w:eastAsia="黑体" w:hint="eastAsia"/>
        </w:rPr>
        <w:lastRenderedPageBreak/>
        <w:t>附件</w:t>
      </w:r>
      <w:r>
        <w:rPr>
          <w:rFonts w:ascii="黑体" w:eastAsia="黑体"/>
        </w:rPr>
        <w:t>4</w:t>
      </w:r>
    </w:p>
    <w:p w:rsidR="00E14B4B" w:rsidRDefault="00827806" w:rsidP="00827806">
      <w:pPr>
        <w:spacing w:line="580" w:lineRule="exact"/>
        <w:contextualSpacing/>
        <w:jc w:val="center"/>
      </w:pPr>
      <w:r>
        <w:rPr>
          <w:rFonts w:hint="eastAsia"/>
          <w:b/>
          <w:bCs/>
          <w:sz w:val="44"/>
          <w:szCs w:val="44"/>
        </w:rPr>
        <w:t>县</w:t>
      </w:r>
      <w:r w:rsidR="00E629F6">
        <w:rPr>
          <w:rFonts w:hint="eastAsia"/>
          <w:b/>
          <w:bCs/>
          <w:sz w:val="44"/>
          <w:szCs w:val="44"/>
        </w:rPr>
        <w:t>工伤保险服务中心</w:t>
      </w:r>
      <w:r>
        <w:rPr>
          <w:rFonts w:hint="eastAsia"/>
          <w:b/>
          <w:bCs/>
          <w:sz w:val="44"/>
          <w:szCs w:val="44"/>
        </w:rPr>
        <w:t>2021</w:t>
      </w:r>
      <w:r w:rsidR="00E14B4B">
        <w:rPr>
          <w:b/>
          <w:bCs/>
          <w:sz w:val="44"/>
          <w:szCs w:val="44"/>
        </w:rPr>
        <w:t>年绩效自评报告</w:t>
      </w:r>
    </w:p>
    <w:p w:rsidR="00E14B4B" w:rsidRDefault="00E14B4B" w:rsidP="00E14B4B">
      <w:pPr>
        <w:spacing w:line="580" w:lineRule="exact"/>
        <w:contextualSpacing/>
      </w:pPr>
    </w:p>
    <w:p w:rsidR="00E14B4B" w:rsidRDefault="00E14B4B" w:rsidP="006F07FF">
      <w:pPr>
        <w:spacing w:line="580" w:lineRule="exact"/>
        <w:ind w:firstLineChars="200" w:firstLine="640"/>
        <w:contextualSpacing/>
        <w:rPr>
          <w:b/>
          <w:bCs/>
        </w:rPr>
      </w:pPr>
      <w:r>
        <w:rPr>
          <w:b/>
          <w:bCs/>
        </w:rPr>
        <w:t>一、机构编制人员情况</w:t>
      </w:r>
    </w:p>
    <w:p w:rsidR="00E14B4B" w:rsidRPr="00827806" w:rsidRDefault="003D21EF" w:rsidP="00827806">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Chars="200" w:firstLine="640"/>
        <w:rPr>
          <w:rFonts w:ascii="仿宋" w:eastAsia="仿宋" w:hAnsi="仿宋" w:cs="仿宋"/>
        </w:rPr>
      </w:pPr>
      <w:r>
        <w:rPr>
          <w:rFonts w:ascii="仿宋" w:eastAsia="仿宋" w:hAnsi="仿宋" w:cs="仿宋" w:hint="eastAsia"/>
          <w:color w:val="000000"/>
          <w:kern w:val="0"/>
          <w:lang w:val="zh-CN"/>
        </w:rPr>
        <w:t>本单位业务股室共</w:t>
      </w:r>
      <w:r w:rsidR="00E629F6">
        <w:rPr>
          <w:rFonts w:ascii="仿宋" w:eastAsia="仿宋" w:hAnsi="仿宋" w:cs="仿宋" w:hint="eastAsia"/>
          <w:color w:val="000000"/>
          <w:kern w:val="0"/>
        </w:rPr>
        <w:t>5</w:t>
      </w:r>
      <w:r>
        <w:rPr>
          <w:rFonts w:ascii="仿宋" w:eastAsia="仿宋" w:hAnsi="仿宋" w:cs="仿宋" w:hint="eastAsia"/>
          <w:color w:val="000000"/>
          <w:kern w:val="0"/>
        </w:rPr>
        <w:t xml:space="preserve">个,事业编制 </w:t>
      </w:r>
      <w:r w:rsidR="00E629F6">
        <w:rPr>
          <w:rFonts w:ascii="仿宋" w:eastAsia="仿宋" w:hAnsi="仿宋" w:cs="仿宋" w:hint="eastAsia"/>
          <w:color w:val="000000"/>
          <w:kern w:val="0"/>
        </w:rPr>
        <w:t>11</w:t>
      </w:r>
      <w:r>
        <w:rPr>
          <w:rFonts w:ascii="仿宋" w:eastAsia="仿宋" w:hAnsi="仿宋" w:cs="仿宋" w:hint="eastAsia"/>
          <w:color w:val="000000"/>
          <w:kern w:val="0"/>
        </w:rPr>
        <w:t>个，实有事业编制人员</w:t>
      </w:r>
      <w:r w:rsidR="00E629F6">
        <w:rPr>
          <w:rFonts w:ascii="仿宋" w:eastAsia="仿宋" w:hAnsi="仿宋" w:cs="仿宋" w:hint="eastAsia"/>
          <w:color w:val="000000"/>
          <w:kern w:val="0"/>
        </w:rPr>
        <w:t>11</w:t>
      </w:r>
      <w:r>
        <w:rPr>
          <w:rFonts w:ascii="仿宋" w:eastAsia="仿宋" w:hAnsi="仿宋" w:cs="仿宋" w:hint="eastAsia"/>
          <w:color w:val="000000"/>
          <w:kern w:val="0"/>
        </w:rPr>
        <w:t>人，超编0人，单位退休人员</w:t>
      </w:r>
      <w:r w:rsidR="001B018D">
        <w:rPr>
          <w:rFonts w:ascii="仿宋" w:eastAsia="仿宋" w:hAnsi="仿宋" w:cs="仿宋" w:hint="eastAsia"/>
          <w:color w:val="000000"/>
          <w:kern w:val="0"/>
        </w:rPr>
        <w:t>2</w:t>
      </w:r>
      <w:r>
        <w:rPr>
          <w:rFonts w:ascii="仿宋" w:eastAsia="仿宋" w:hAnsi="仿宋" w:cs="仿宋" w:hint="eastAsia"/>
          <w:color w:val="000000"/>
          <w:kern w:val="0"/>
        </w:rPr>
        <w:t>人。</w:t>
      </w:r>
    </w:p>
    <w:p w:rsidR="00E14B4B" w:rsidRDefault="00E14B4B" w:rsidP="006F07FF">
      <w:pPr>
        <w:spacing w:line="580" w:lineRule="exact"/>
        <w:ind w:firstLineChars="200" w:firstLine="640"/>
        <w:contextualSpacing/>
        <w:rPr>
          <w:b/>
          <w:bCs/>
        </w:rPr>
      </w:pPr>
      <w:r>
        <w:rPr>
          <w:b/>
          <w:bCs/>
        </w:rPr>
        <w:t>二、单位主要职能与年度绩效目标</w:t>
      </w:r>
    </w:p>
    <w:p w:rsidR="006D46EB" w:rsidRDefault="006D46EB" w:rsidP="001C2D7B">
      <w:pPr>
        <w:spacing w:line="580" w:lineRule="exact"/>
        <w:ind w:firstLineChars="200" w:firstLine="640"/>
        <w:contextualSpacing/>
        <w:rPr>
          <w:rFonts w:ascii="仿宋" w:eastAsia="仿宋" w:hAnsi="仿宋" w:cs="微软雅黑"/>
          <w:color w:val="333333"/>
          <w:shd w:val="clear" w:color="auto" w:fill="FFFFFF"/>
        </w:rPr>
      </w:pPr>
      <w:r>
        <w:rPr>
          <w:rFonts w:ascii="仿宋" w:eastAsia="仿宋" w:hAnsi="仿宋" w:cs="微软雅黑" w:hint="eastAsia"/>
          <w:color w:val="333333"/>
          <w:shd w:val="clear" w:color="auto" w:fill="FFFFFF"/>
        </w:rPr>
        <w:t>（一）单位主要职能</w:t>
      </w:r>
    </w:p>
    <w:p w:rsidR="001C2D7B" w:rsidRPr="001C2D7B" w:rsidRDefault="001C2D7B" w:rsidP="001C2D7B">
      <w:pPr>
        <w:spacing w:line="580" w:lineRule="exact"/>
        <w:ind w:firstLineChars="200" w:firstLine="640"/>
        <w:contextualSpacing/>
        <w:rPr>
          <w:rFonts w:ascii="仿宋" w:eastAsia="仿宋" w:hAnsi="仿宋" w:cs="微软雅黑"/>
          <w:color w:val="333333"/>
          <w:shd w:val="clear" w:color="auto" w:fill="FFFFFF"/>
        </w:rPr>
      </w:pPr>
      <w:r w:rsidRPr="001C2D7B">
        <w:rPr>
          <w:rFonts w:ascii="仿宋" w:eastAsia="仿宋" w:hAnsi="仿宋" w:cs="微软雅黑" w:hint="eastAsia"/>
          <w:color w:val="333333"/>
          <w:shd w:val="clear" w:color="auto" w:fill="FFFFFF"/>
        </w:rPr>
        <w:t>1、为社会提供工伤保险服务，工伤认定；</w:t>
      </w:r>
    </w:p>
    <w:p w:rsidR="006D46EB" w:rsidRDefault="001C2D7B" w:rsidP="001C2D7B">
      <w:pPr>
        <w:spacing w:line="580" w:lineRule="exact"/>
        <w:ind w:firstLineChars="200" w:firstLine="640"/>
        <w:contextualSpacing/>
        <w:rPr>
          <w:rFonts w:ascii="仿宋" w:eastAsia="仿宋" w:hAnsi="仿宋" w:cs="微软雅黑"/>
          <w:color w:val="333333"/>
          <w:shd w:val="clear" w:color="auto" w:fill="FFFFFF"/>
        </w:rPr>
      </w:pPr>
      <w:r w:rsidRPr="001C2D7B">
        <w:rPr>
          <w:rFonts w:ascii="仿宋" w:eastAsia="仿宋" w:hAnsi="仿宋" w:cs="微软雅黑" w:hint="eastAsia"/>
          <w:color w:val="333333"/>
          <w:shd w:val="clear" w:color="auto" w:fill="FFFFFF"/>
        </w:rPr>
        <w:t>2、工伤保险费的征缴及管理，待遇支出。  </w:t>
      </w:r>
    </w:p>
    <w:p w:rsidR="006D46EB" w:rsidRPr="006D46EB" w:rsidRDefault="006D46EB" w:rsidP="006D46EB">
      <w:pPr>
        <w:pStyle w:val="a6"/>
        <w:numPr>
          <w:ilvl w:val="0"/>
          <w:numId w:val="3"/>
        </w:numPr>
        <w:spacing w:line="580" w:lineRule="exact"/>
        <w:ind w:firstLineChars="0"/>
        <w:contextualSpacing/>
        <w:rPr>
          <w:rFonts w:ascii="仿宋" w:eastAsia="仿宋" w:hAnsi="仿宋" w:cs="微软雅黑"/>
          <w:color w:val="333333"/>
          <w:shd w:val="clear" w:color="auto" w:fill="FFFFFF"/>
        </w:rPr>
      </w:pPr>
      <w:r w:rsidRPr="006D46EB">
        <w:rPr>
          <w:rFonts w:ascii="仿宋" w:eastAsia="仿宋" w:hAnsi="仿宋" w:cs="微软雅黑" w:hint="eastAsia"/>
          <w:color w:val="333333"/>
          <w:shd w:val="clear" w:color="auto" w:fill="FFFFFF"/>
        </w:rPr>
        <w:t>年度绩效目标</w:t>
      </w:r>
    </w:p>
    <w:p w:rsidR="006D46EB" w:rsidRPr="00D70CD1" w:rsidRDefault="006D46EB" w:rsidP="00D70CD1">
      <w:pPr>
        <w:pStyle w:val="a5"/>
        <w:widowControl/>
        <w:spacing w:before="150" w:beforeAutospacing="0" w:after="150" w:afterAutospacing="0" w:line="240" w:lineRule="atLeast"/>
        <w:ind w:firstLineChars="200" w:firstLine="640"/>
        <w:rPr>
          <w:rFonts w:ascii="仿宋" w:eastAsia="仿宋" w:hAnsi="仿宋"/>
          <w:sz w:val="32"/>
          <w:szCs w:val="32"/>
        </w:rPr>
      </w:pPr>
      <w:r w:rsidRPr="00D70CD1">
        <w:rPr>
          <w:rFonts w:ascii="仿宋" w:eastAsia="仿宋" w:hAnsi="仿宋" w:hint="eastAsia"/>
          <w:sz w:val="32"/>
          <w:szCs w:val="32"/>
        </w:rPr>
        <w:t>1、强化基金征收工作，完成上级下达的目标任务。</w:t>
      </w:r>
    </w:p>
    <w:p w:rsidR="006D46EB" w:rsidRPr="00D70CD1" w:rsidRDefault="006D46EB" w:rsidP="00D70CD1">
      <w:pPr>
        <w:pStyle w:val="a5"/>
        <w:widowControl/>
        <w:spacing w:before="150" w:beforeAutospacing="0" w:after="150" w:afterAutospacing="0" w:line="240" w:lineRule="atLeast"/>
        <w:ind w:firstLineChars="200" w:firstLine="640"/>
        <w:rPr>
          <w:rFonts w:ascii="仿宋" w:eastAsia="仿宋" w:hAnsi="仿宋"/>
          <w:sz w:val="32"/>
          <w:szCs w:val="32"/>
        </w:rPr>
      </w:pPr>
      <w:r w:rsidRPr="00D70CD1">
        <w:rPr>
          <w:rFonts w:ascii="仿宋" w:eastAsia="仿宋" w:hAnsi="仿宋" w:hint="eastAsia"/>
          <w:sz w:val="32"/>
          <w:szCs w:val="32"/>
        </w:rPr>
        <w:t>2、加强工伤</w:t>
      </w:r>
      <w:proofErr w:type="gramStart"/>
      <w:r w:rsidRPr="00D70CD1">
        <w:rPr>
          <w:rFonts w:ascii="仿宋" w:eastAsia="仿宋" w:hAnsi="仿宋" w:hint="eastAsia"/>
          <w:sz w:val="32"/>
          <w:szCs w:val="32"/>
        </w:rPr>
        <w:t>保险扩面工作</w:t>
      </w:r>
      <w:proofErr w:type="gramEnd"/>
      <w:r w:rsidRPr="00D70CD1">
        <w:rPr>
          <w:rFonts w:ascii="仿宋" w:eastAsia="仿宋" w:hAnsi="仿宋" w:hint="eastAsia"/>
          <w:sz w:val="32"/>
          <w:szCs w:val="32"/>
        </w:rPr>
        <w:t>，扩大保险覆盖面，加大对私营企业、民营企业、乡镇企业参保工作力度，做到应保尽保，扩大保险覆盖面，提高抵御风险的能力，全面完成上级下达</w:t>
      </w:r>
      <w:proofErr w:type="gramStart"/>
      <w:r w:rsidRPr="00D70CD1">
        <w:rPr>
          <w:rFonts w:ascii="仿宋" w:eastAsia="仿宋" w:hAnsi="仿宋" w:hint="eastAsia"/>
          <w:sz w:val="32"/>
          <w:szCs w:val="32"/>
        </w:rPr>
        <w:t>的扩面任务</w:t>
      </w:r>
      <w:proofErr w:type="gramEnd"/>
      <w:r w:rsidRPr="00D70CD1">
        <w:rPr>
          <w:rFonts w:ascii="仿宋" w:eastAsia="仿宋" w:hAnsi="仿宋" w:hint="eastAsia"/>
          <w:sz w:val="32"/>
          <w:szCs w:val="32"/>
        </w:rPr>
        <w:t>。</w:t>
      </w:r>
    </w:p>
    <w:p w:rsidR="006D46EB" w:rsidRPr="00D70CD1" w:rsidRDefault="006D46EB" w:rsidP="006D46EB">
      <w:pPr>
        <w:pStyle w:val="a5"/>
        <w:widowControl/>
        <w:spacing w:before="150" w:beforeAutospacing="0" w:after="150" w:afterAutospacing="0" w:line="240" w:lineRule="atLeast"/>
        <w:ind w:firstLine="420"/>
        <w:rPr>
          <w:rFonts w:ascii="仿宋" w:eastAsia="仿宋" w:hAnsi="仿宋"/>
          <w:sz w:val="32"/>
          <w:szCs w:val="32"/>
        </w:rPr>
      </w:pPr>
      <w:r w:rsidRPr="00D70CD1">
        <w:rPr>
          <w:rFonts w:ascii="仿宋" w:eastAsia="仿宋" w:hAnsi="仿宋" w:hint="eastAsia"/>
          <w:sz w:val="32"/>
          <w:szCs w:val="32"/>
        </w:rPr>
        <w:t>3、强化医疗监管，规范医疗行为，杜绝工伤保险基金的浪费和流失。</w:t>
      </w:r>
    </w:p>
    <w:p w:rsidR="006D46EB" w:rsidRPr="00D70CD1" w:rsidRDefault="003C66E6" w:rsidP="003C66E6">
      <w:pPr>
        <w:ind w:firstLineChars="100" w:firstLine="320"/>
        <w:rPr>
          <w:rFonts w:ascii="仿宋" w:eastAsia="仿宋" w:hAnsi="仿宋"/>
        </w:rPr>
      </w:pPr>
      <w:r w:rsidRPr="00D70CD1">
        <w:rPr>
          <w:rFonts w:ascii="仿宋" w:eastAsia="仿宋" w:hAnsi="仿宋" w:hint="eastAsia"/>
        </w:rPr>
        <w:t>4、</w:t>
      </w:r>
      <w:r w:rsidR="006D46EB" w:rsidRPr="00D70CD1">
        <w:rPr>
          <w:rFonts w:ascii="仿宋" w:eastAsia="仿宋" w:hAnsi="仿宋" w:hint="eastAsia"/>
        </w:rPr>
        <w:t>做好工伤保险信息化建设，加强对协议医院监管力度。</w:t>
      </w:r>
    </w:p>
    <w:p w:rsidR="006D46EB" w:rsidRPr="00D70CD1" w:rsidRDefault="003C66E6" w:rsidP="00D70CD1">
      <w:pPr>
        <w:ind w:firstLineChars="100" w:firstLine="320"/>
        <w:rPr>
          <w:rFonts w:ascii="仿宋" w:eastAsia="仿宋" w:hAnsi="仿宋" w:cs="仿宋"/>
        </w:rPr>
      </w:pPr>
      <w:r w:rsidRPr="00D70CD1">
        <w:rPr>
          <w:rFonts w:ascii="仿宋" w:eastAsia="仿宋" w:hAnsi="仿宋" w:cs="仿宋" w:hint="eastAsia"/>
        </w:rPr>
        <w:t>5</w:t>
      </w:r>
      <w:r w:rsidR="006D46EB" w:rsidRPr="00D70CD1">
        <w:rPr>
          <w:rFonts w:ascii="仿宋" w:eastAsia="仿宋" w:hAnsi="仿宋" w:cs="仿宋" w:hint="eastAsia"/>
        </w:rPr>
        <w:t>、扎实抓好党建工作，为开展工伤保险各项工作提供坚强的组织保障。</w:t>
      </w:r>
    </w:p>
    <w:p w:rsidR="001C2D7B" w:rsidRPr="00D70CD1" w:rsidRDefault="001C2D7B" w:rsidP="001C2D7B">
      <w:pPr>
        <w:spacing w:line="580" w:lineRule="exact"/>
        <w:ind w:firstLineChars="200" w:firstLine="640"/>
        <w:contextualSpacing/>
        <w:rPr>
          <w:rFonts w:ascii="仿宋" w:eastAsia="仿宋" w:hAnsi="仿宋" w:cs="微软雅黑"/>
          <w:color w:val="333333"/>
          <w:shd w:val="clear" w:color="auto" w:fill="FFFFFF"/>
        </w:rPr>
      </w:pPr>
    </w:p>
    <w:p w:rsidR="00E14B4B" w:rsidRDefault="00E14B4B" w:rsidP="006F07FF">
      <w:pPr>
        <w:spacing w:line="580" w:lineRule="exact"/>
        <w:ind w:firstLineChars="200" w:firstLine="640"/>
        <w:contextualSpacing/>
        <w:rPr>
          <w:b/>
          <w:bCs/>
        </w:rPr>
      </w:pPr>
      <w:r>
        <w:rPr>
          <w:b/>
          <w:bCs/>
        </w:rPr>
        <w:lastRenderedPageBreak/>
        <w:t>三、年度整体支出及管理情况</w:t>
      </w:r>
    </w:p>
    <w:p w:rsidR="00B12452" w:rsidRPr="00D70CD1" w:rsidRDefault="00E14B4B" w:rsidP="00E14B4B">
      <w:pPr>
        <w:spacing w:line="580" w:lineRule="exact"/>
        <w:ind w:firstLineChars="200" w:firstLine="640"/>
        <w:contextualSpacing/>
        <w:rPr>
          <w:rFonts w:ascii="仿宋" w:eastAsia="仿宋" w:hAnsi="仿宋"/>
        </w:rPr>
      </w:pPr>
      <w:r w:rsidRPr="00D70CD1">
        <w:rPr>
          <w:rFonts w:ascii="仿宋" w:eastAsia="仿宋" w:hAnsi="仿宋"/>
        </w:rPr>
        <w:t>2021年预算总收入</w:t>
      </w:r>
      <w:r w:rsidR="001B018D" w:rsidRPr="00D70CD1">
        <w:rPr>
          <w:rFonts w:ascii="仿宋" w:eastAsia="仿宋" w:hAnsi="仿宋" w:cs="宋体" w:hint="eastAsia"/>
          <w:color w:val="000000"/>
          <w:kern w:val="0"/>
        </w:rPr>
        <w:t>157.6</w:t>
      </w:r>
      <w:r w:rsidRPr="00D70CD1">
        <w:rPr>
          <w:rFonts w:ascii="仿宋" w:eastAsia="仿宋" w:hAnsi="仿宋"/>
        </w:rPr>
        <w:t>万元，其中年初预算安排</w:t>
      </w:r>
      <w:r w:rsidR="001B018D" w:rsidRPr="00D70CD1">
        <w:rPr>
          <w:rFonts w:ascii="仿宋" w:eastAsia="仿宋" w:hAnsi="仿宋" w:hint="eastAsia"/>
        </w:rPr>
        <w:t>140.8</w:t>
      </w:r>
      <w:r w:rsidRPr="00D70CD1">
        <w:rPr>
          <w:rFonts w:ascii="仿宋" w:eastAsia="仿宋" w:hAnsi="仿宋"/>
        </w:rPr>
        <w:t>万元，上年结转收入</w:t>
      </w:r>
      <w:r w:rsidR="001B018D" w:rsidRPr="00D70CD1">
        <w:rPr>
          <w:rFonts w:ascii="仿宋" w:eastAsia="仿宋" w:hAnsi="仿宋" w:hint="eastAsia"/>
        </w:rPr>
        <w:t>16.80</w:t>
      </w:r>
      <w:r w:rsidR="00B12452" w:rsidRPr="00D70CD1">
        <w:rPr>
          <w:rFonts w:ascii="仿宋" w:eastAsia="仿宋" w:hAnsi="仿宋"/>
        </w:rPr>
        <w:t xml:space="preserve"> </w:t>
      </w:r>
      <w:r w:rsidRPr="00D70CD1">
        <w:rPr>
          <w:rFonts w:ascii="仿宋" w:eastAsia="仿宋" w:hAnsi="仿宋"/>
        </w:rPr>
        <w:t xml:space="preserve">万元。实际总支出 </w:t>
      </w:r>
      <w:r w:rsidR="00BA5F2A" w:rsidRPr="00D70CD1">
        <w:rPr>
          <w:rFonts w:ascii="仿宋" w:eastAsia="仿宋" w:hAnsi="仿宋" w:hint="eastAsia"/>
        </w:rPr>
        <w:t>162.68</w:t>
      </w:r>
      <w:r w:rsidRPr="00D70CD1">
        <w:rPr>
          <w:rFonts w:ascii="仿宋" w:eastAsia="仿宋" w:hAnsi="仿宋"/>
        </w:rPr>
        <w:t xml:space="preserve"> 万元，</w:t>
      </w:r>
      <w:r w:rsidR="00B12452" w:rsidRPr="00D70CD1">
        <w:rPr>
          <w:rFonts w:ascii="仿宋" w:eastAsia="仿宋" w:hAnsi="仿宋" w:hint="eastAsia"/>
        </w:rPr>
        <w:t>全部为</w:t>
      </w:r>
      <w:r w:rsidRPr="00D70CD1">
        <w:rPr>
          <w:rFonts w:ascii="仿宋" w:eastAsia="仿宋" w:hAnsi="仿宋"/>
        </w:rPr>
        <w:t>基本支出</w:t>
      </w:r>
      <w:r w:rsidR="00B12452" w:rsidRPr="00D70CD1">
        <w:rPr>
          <w:rFonts w:ascii="仿宋" w:eastAsia="仿宋" w:hAnsi="仿宋"/>
        </w:rPr>
        <w:t>，</w:t>
      </w:r>
      <w:r w:rsidRPr="00D70CD1">
        <w:rPr>
          <w:rFonts w:ascii="仿宋" w:eastAsia="仿宋" w:hAnsi="仿宋"/>
        </w:rPr>
        <w:t>占年初预算基本支出的</w:t>
      </w:r>
      <w:r w:rsidR="001C7A11" w:rsidRPr="00D70CD1">
        <w:rPr>
          <w:rFonts w:ascii="仿宋" w:eastAsia="仿宋" w:hAnsi="仿宋" w:hint="eastAsia"/>
        </w:rPr>
        <w:t>100</w:t>
      </w:r>
      <w:r w:rsidR="00757723" w:rsidRPr="00D70CD1">
        <w:rPr>
          <w:rFonts w:ascii="仿宋" w:eastAsia="仿宋" w:hAnsi="仿宋"/>
        </w:rPr>
        <w:t xml:space="preserve"> </w:t>
      </w:r>
      <w:r w:rsidRPr="00D70CD1">
        <w:rPr>
          <w:rFonts w:ascii="仿宋" w:eastAsia="仿宋" w:hAnsi="仿宋"/>
        </w:rPr>
        <w:t>%</w:t>
      </w:r>
      <w:r w:rsidR="00B12452" w:rsidRPr="00D70CD1">
        <w:rPr>
          <w:rFonts w:ascii="仿宋" w:eastAsia="仿宋" w:hAnsi="仿宋"/>
        </w:rPr>
        <w:t>。</w:t>
      </w:r>
      <w:r w:rsidR="002E0F78" w:rsidRPr="00D70CD1">
        <w:rPr>
          <w:rFonts w:ascii="仿宋" w:eastAsia="仿宋" w:hAnsi="仿宋" w:hint="eastAsia"/>
        </w:rPr>
        <w:t>项目支出0万元，年度结余0万元。</w:t>
      </w:r>
    </w:p>
    <w:p w:rsidR="00E14B4B" w:rsidRPr="00D70CD1" w:rsidRDefault="00B12452" w:rsidP="00863DBA">
      <w:pPr>
        <w:pStyle w:val="Default"/>
        <w:spacing w:beforeLines="50" w:afterLines="50"/>
        <w:ind w:firstLineChars="200" w:firstLine="640"/>
        <w:rPr>
          <w:rFonts w:ascii="仿宋" w:eastAsia="仿宋" w:hAnsi="仿宋" w:cs="仿宋_GB2312"/>
          <w:kern w:val="2"/>
          <w:sz w:val="32"/>
          <w:szCs w:val="32"/>
          <w:lang w:val="zh-CN"/>
        </w:rPr>
      </w:pPr>
      <w:r w:rsidRPr="00D70CD1">
        <w:rPr>
          <w:rFonts w:ascii="仿宋" w:eastAsia="仿宋" w:hAnsi="仿宋"/>
          <w:sz w:val="32"/>
          <w:szCs w:val="32"/>
        </w:rPr>
        <w:t xml:space="preserve"> </w:t>
      </w:r>
      <w:r w:rsidR="00E14B4B" w:rsidRPr="00D70CD1">
        <w:rPr>
          <w:rFonts w:ascii="仿宋" w:eastAsia="仿宋" w:hAnsi="仿宋"/>
          <w:sz w:val="32"/>
          <w:szCs w:val="32"/>
        </w:rPr>
        <w:t>1、基本支出情况</w:t>
      </w:r>
      <w:r w:rsidRPr="00D70CD1">
        <w:rPr>
          <w:rFonts w:ascii="仿宋" w:eastAsia="仿宋" w:hAnsi="仿宋" w:cs="仿宋_GB2312" w:hint="eastAsia"/>
          <w:sz w:val="32"/>
          <w:szCs w:val="32"/>
          <w:lang w:val="zh-CN"/>
        </w:rPr>
        <w:t>，</w:t>
      </w:r>
      <w:r w:rsidR="002E0F78" w:rsidRPr="00D70CD1">
        <w:rPr>
          <w:rFonts w:ascii="仿宋" w:eastAsia="仿宋" w:hAnsi="仿宋" w:cs="仿宋_GB2312" w:hint="eastAsia"/>
          <w:kern w:val="2"/>
          <w:sz w:val="32"/>
          <w:szCs w:val="32"/>
          <w:lang w:val="zh-CN"/>
        </w:rPr>
        <w:t xml:space="preserve"> 人员经费支出142.18万元，</w:t>
      </w:r>
      <w:proofErr w:type="gramStart"/>
      <w:r w:rsidR="002E0F78" w:rsidRPr="00D70CD1">
        <w:rPr>
          <w:rFonts w:ascii="仿宋" w:eastAsia="仿宋" w:hAnsi="仿宋" w:cs="仿宋_GB2312" w:hint="eastAsia"/>
          <w:kern w:val="2"/>
          <w:sz w:val="32"/>
          <w:szCs w:val="32"/>
          <w:lang w:val="zh-CN"/>
        </w:rPr>
        <w:t>占基本</w:t>
      </w:r>
      <w:proofErr w:type="gramEnd"/>
      <w:r w:rsidR="002E0F78" w:rsidRPr="00D70CD1">
        <w:rPr>
          <w:rFonts w:ascii="仿宋" w:eastAsia="仿宋" w:hAnsi="仿宋" w:cs="仿宋_GB2312" w:hint="eastAsia"/>
          <w:kern w:val="2"/>
          <w:sz w:val="32"/>
          <w:szCs w:val="32"/>
          <w:lang w:val="zh-CN"/>
        </w:rPr>
        <w:t>支出的87%；日常公用经费支出20.5万元，</w:t>
      </w:r>
      <w:proofErr w:type="gramStart"/>
      <w:r w:rsidR="002E0F78" w:rsidRPr="00D70CD1">
        <w:rPr>
          <w:rFonts w:ascii="仿宋" w:eastAsia="仿宋" w:hAnsi="仿宋" w:cs="仿宋_GB2312" w:hint="eastAsia"/>
          <w:kern w:val="2"/>
          <w:sz w:val="32"/>
          <w:szCs w:val="32"/>
          <w:lang w:val="zh-CN"/>
        </w:rPr>
        <w:t>占基本</w:t>
      </w:r>
      <w:proofErr w:type="gramEnd"/>
      <w:r w:rsidR="002E0F78" w:rsidRPr="00D70CD1">
        <w:rPr>
          <w:rFonts w:ascii="仿宋" w:eastAsia="仿宋" w:hAnsi="仿宋" w:cs="仿宋_GB2312" w:hint="eastAsia"/>
          <w:kern w:val="2"/>
          <w:sz w:val="32"/>
          <w:szCs w:val="32"/>
          <w:lang w:val="zh-CN"/>
        </w:rPr>
        <w:t>支出的13%，其中商品和服务支出20.3万元，对个人和家庭的补助0.2万元。</w:t>
      </w:r>
    </w:p>
    <w:p w:rsidR="00E14B4B" w:rsidRPr="00D70CD1" w:rsidRDefault="00E14B4B" w:rsidP="00E14B4B">
      <w:pPr>
        <w:spacing w:line="580" w:lineRule="exact"/>
        <w:ind w:firstLineChars="200" w:firstLine="640"/>
        <w:contextualSpacing/>
        <w:rPr>
          <w:rFonts w:ascii="仿宋" w:eastAsia="仿宋" w:hAnsi="仿宋"/>
        </w:rPr>
      </w:pPr>
      <w:r w:rsidRPr="00D70CD1">
        <w:rPr>
          <w:rFonts w:ascii="仿宋" w:eastAsia="仿宋" w:hAnsi="仿宋"/>
        </w:rPr>
        <w:t>2、</w:t>
      </w:r>
      <w:r w:rsidRPr="00D70CD1">
        <w:rPr>
          <w:rFonts w:ascii="仿宋" w:eastAsia="仿宋" w:hAnsi="仿宋" w:hint="eastAsia"/>
        </w:rPr>
        <w:t>“</w:t>
      </w:r>
      <w:r w:rsidRPr="00D70CD1">
        <w:rPr>
          <w:rFonts w:ascii="仿宋" w:eastAsia="仿宋" w:hAnsi="仿宋"/>
        </w:rPr>
        <w:t>三公</w:t>
      </w:r>
      <w:r w:rsidRPr="00D70CD1">
        <w:rPr>
          <w:rFonts w:ascii="仿宋" w:eastAsia="仿宋" w:hAnsi="仿宋" w:hint="eastAsia"/>
        </w:rPr>
        <w:t>”</w:t>
      </w:r>
      <w:r w:rsidRPr="00D70CD1">
        <w:rPr>
          <w:rFonts w:ascii="仿宋" w:eastAsia="仿宋" w:hAnsi="仿宋"/>
        </w:rPr>
        <w:t>经费支出情况，</w:t>
      </w:r>
      <w:r w:rsidRPr="00D70CD1">
        <w:rPr>
          <w:rFonts w:ascii="仿宋" w:eastAsia="仿宋" w:hAnsi="仿宋" w:hint="eastAsia"/>
        </w:rPr>
        <w:t>“</w:t>
      </w:r>
      <w:r w:rsidRPr="00D70CD1">
        <w:rPr>
          <w:rFonts w:ascii="仿宋" w:eastAsia="仿宋" w:hAnsi="仿宋"/>
        </w:rPr>
        <w:t>三公</w:t>
      </w:r>
      <w:r w:rsidRPr="00D70CD1">
        <w:rPr>
          <w:rFonts w:ascii="仿宋" w:eastAsia="仿宋" w:hAnsi="仿宋" w:hint="eastAsia"/>
        </w:rPr>
        <w:t>”</w:t>
      </w:r>
      <w:r w:rsidRPr="00D70CD1">
        <w:rPr>
          <w:rFonts w:ascii="仿宋" w:eastAsia="仿宋" w:hAnsi="仿宋"/>
        </w:rPr>
        <w:t>经费年初预算</w:t>
      </w:r>
      <w:r w:rsidR="001B018D" w:rsidRPr="00D70CD1">
        <w:rPr>
          <w:rFonts w:ascii="仿宋" w:eastAsia="仿宋" w:hAnsi="仿宋" w:hint="eastAsia"/>
        </w:rPr>
        <w:t>1.4</w:t>
      </w:r>
      <w:r w:rsidRPr="00D70CD1">
        <w:rPr>
          <w:rFonts w:ascii="仿宋" w:eastAsia="仿宋" w:hAnsi="仿宋"/>
        </w:rPr>
        <w:t xml:space="preserve">万元，其中公务接待费 </w:t>
      </w:r>
      <w:r w:rsidR="001B018D" w:rsidRPr="00D70CD1">
        <w:rPr>
          <w:rFonts w:ascii="仿宋" w:eastAsia="仿宋" w:hAnsi="仿宋" w:hint="eastAsia"/>
        </w:rPr>
        <w:t>1.4</w:t>
      </w:r>
      <w:r w:rsidRPr="00D70CD1">
        <w:rPr>
          <w:rFonts w:ascii="仿宋" w:eastAsia="仿宋" w:hAnsi="仿宋"/>
        </w:rPr>
        <w:t xml:space="preserve">万元，公务用车运行费 </w:t>
      </w:r>
      <w:r w:rsidR="00CE721E" w:rsidRPr="00D70CD1">
        <w:rPr>
          <w:rFonts w:ascii="仿宋" w:eastAsia="仿宋" w:hAnsi="仿宋" w:hint="eastAsia"/>
        </w:rPr>
        <w:t>0</w:t>
      </w:r>
      <w:r w:rsidRPr="00D70CD1">
        <w:rPr>
          <w:rFonts w:ascii="仿宋" w:eastAsia="仿宋" w:hAnsi="仿宋"/>
        </w:rPr>
        <w:t xml:space="preserve"> 万元，出国</w:t>
      </w:r>
      <w:r w:rsidRPr="00D70CD1">
        <w:rPr>
          <w:rFonts w:ascii="仿宋" w:eastAsia="仿宋" w:hAnsi="仿宋" w:hint="eastAsia"/>
        </w:rPr>
        <w:t>考察经费</w:t>
      </w:r>
      <w:r w:rsidR="00CE721E" w:rsidRPr="00D70CD1">
        <w:rPr>
          <w:rFonts w:ascii="仿宋" w:eastAsia="仿宋" w:hAnsi="仿宋" w:hint="eastAsia"/>
        </w:rPr>
        <w:t>0</w:t>
      </w:r>
      <w:r w:rsidRPr="00D70CD1">
        <w:rPr>
          <w:rFonts w:ascii="仿宋" w:eastAsia="仿宋" w:hAnsi="仿宋" w:hint="eastAsia"/>
        </w:rPr>
        <w:t>万元。实际“三公”经费支出</w:t>
      </w:r>
      <w:r w:rsidR="001B018D" w:rsidRPr="00D70CD1">
        <w:rPr>
          <w:rFonts w:ascii="仿宋" w:eastAsia="仿宋" w:hAnsi="仿宋" w:hint="eastAsia"/>
        </w:rPr>
        <w:t>1.28</w:t>
      </w:r>
      <w:r w:rsidRPr="00D70CD1">
        <w:rPr>
          <w:rFonts w:ascii="仿宋" w:eastAsia="仿宋" w:hAnsi="仿宋" w:hint="eastAsia"/>
        </w:rPr>
        <w:t>万元，</w:t>
      </w:r>
      <w:r w:rsidRPr="00D70CD1">
        <w:rPr>
          <w:rFonts w:ascii="仿宋" w:eastAsia="仿宋" w:hAnsi="仿宋"/>
        </w:rPr>
        <w:t>占年</w:t>
      </w:r>
      <w:r w:rsidRPr="00D70CD1">
        <w:rPr>
          <w:rFonts w:ascii="仿宋" w:eastAsia="仿宋" w:hAnsi="仿宋" w:hint="eastAsia"/>
        </w:rPr>
        <w:t>初预算的</w:t>
      </w:r>
      <w:r w:rsidR="001B018D" w:rsidRPr="00D70CD1">
        <w:rPr>
          <w:rFonts w:ascii="仿宋" w:eastAsia="仿宋" w:hAnsi="仿宋" w:hint="eastAsia"/>
        </w:rPr>
        <w:t>91</w:t>
      </w:r>
      <w:r w:rsidRPr="00D70CD1">
        <w:rPr>
          <w:rFonts w:ascii="仿宋" w:eastAsia="仿宋" w:hAnsi="仿宋" w:hint="eastAsia"/>
        </w:rPr>
        <w:t xml:space="preserve">%，其中公务接待费 </w:t>
      </w:r>
      <w:r w:rsidR="001B018D" w:rsidRPr="00D70CD1">
        <w:rPr>
          <w:rFonts w:ascii="仿宋" w:eastAsia="仿宋" w:hAnsi="仿宋" w:hint="eastAsia"/>
        </w:rPr>
        <w:t>1.28</w:t>
      </w:r>
      <w:r w:rsidRPr="00D70CD1">
        <w:rPr>
          <w:rFonts w:ascii="仿宋" w:eastAsia="仿宋" w:hAnsi="仿宋" w:hint="eastAsia"/>
        </w:rPr>
        <w:t>万元，占年初预算的</w:t>
      </w:r>
      <w:r w:rsidR="001B018D" w:rsidRPr="00D70CD1">
        <w:rPr>
          <w:rFonts w:ascii="仿宋" w:eastAsia="仿宋" w:hAnsi="仿宋" w:hint="eastAsia"/>
        </w:rPr>
        <w:t>91</w:t>
      </w:r>
      <w:r w:rsidRPr="00D70CD1">
        <w:rPr>
          <w:rFonts w:ascii="仿宋" w:eastAsia="仿宋" w:hAnsi="仿宋" w:hint="eastAsia"/>
        </w:rPr>
        <w:t>%，公务用车运行费</w:t>
      </w:r>
      <w:r w:rsidR="00CE721E" w:rsidRPr="00D70CD1">
        <w:rPr>
          <w:rFonts w:ascii="仿宋" w:eastAsia="仿宋" w:hAnsi="仿宋" w:hint="eastAsia"/>
        </w:rPr>
        <w:t>0</w:t>
      </w:r>
      <w:r w:rsidRPr="00D70CD1">
        <w:rPr>
          <w:rFonts w:ascii="仿宋" w:eastAsia="仿宋" w:hAnsi="仿宋" w:hint="eastAsia"/>
        </w:rPr>
        <w:t>万元，占年初预算的</w:t>
      </w:r>
      <w:r w:rsidR="00CE721E" w:rsidRPr="00D70CD1">
        <w:rPr>
          <w:rFonts w:ascii="仿宋" w:eastAsia="仿宋" w:hAnsi="仿宋" w:hint="eastAsia"/>
        </w:rPr>
        <w:t>0</w:t>
      </w:r>
      <w:r w:rsidRPr="00D70CD1">
        <w:rPr>
          <w:rFonts w:ascii="仿宋" w:eastAsia="仿宋" w:hAnsi="仿宋" w:hint="eastAsia"/>
        </w:rPr>
        <w:t>%，出国考察</w:t>
      </w:r>
      <w:r w:rsidR="00CE721E" w:rsidRPr="00D70CD1">
        <w:rPr>
          <w:rFonts w:ascii="仿宋" w:eastAsia="仿宋" w:hAnsi="仿宋" w:hint="eastAsia"/>
        </w:rPr>
        <w:t>0</w:t>
      </w:r>
      <w:r w:rsidR="00827806" w:rsidRPr="00D70CD1">
        <w:rPr>
          <w:rFonts w:ascii="仿宋" w:eastAsia="仿宋" w:hAnsi="仿宋" w:hint="eastAsia"/>
        </w:rPr>
        <w:t xml:space="preserve"> </w:t>
      </w:r>
      <w:r w:rsidRPr="00D70CD1">
        <w:rPr>
          <w:rFonts w:ascii="仿宋" w:eastAsia="仿宋" w:hAnsi="仿宋" w:hint="eastAsia"/>
        </w:rPr>
        <w:t xml:space="preserve">万元，占年初预算 </w:t>
      </w:r>
      <w:r w:rsidR="00CE721E" w:rsidRPr="00D70CD1">
        <w:rPr>
          <w:rFonts w:ascii="仿宋" w:eastAsia="仿宋" w:hAnsi="仿宋" w:hint="eastAsia"/>
        </w:rPr>
        <w:t>0</w:t>
      </w:r>
      <w:r w:rsidRPr="00D70CD1">
        <w:rPr>
          <w:rFonts w:ascii="仿宋" w:eastAsia="仿宋" w:hAnsi="仿宋" w:hint="eastAsia"/>
        </w:rPr>
        <w:t xml:space="preserve"> %。“三公经费”结余</w:t>
      </w:r>
      <w:r w:rsidR="00CE721E" w:rsidRPr="00D70CD1">
        <w:rPr>
          <w:rFonts w:ascii="仿宋" w:eastAsia="仿宋" w:hAnsi="仿宋" w:hint="eastAsia"/>
        </w:rPr>
        <w:t>0</w:t>
      </w:r>
      <w:r w:rsidRPr="00D70CD1">
        <w:rPr>
          <w:rFonts w:ascii="仿宋" w:eastAsia="仿宋" w:hAnsi="仿宋" w:hint="eastAsia"/>
        </w:rPr>
        <w:t xml:space="preserve">  万元，结余率</w:t>
      </w:r>
      <w:r w:rsidR="00CE721E" w:rsidRPr="00D70CD1">
        <w:rPr>
          <w:rFonts w:ascii="仿宋" w:eastAsia="仿宋" w:hAnsi="仿宋" w:hint="eastAsia"/>
        </w:rPr>
        <w:t>0</w:t>
      </w:r>
      <w:r w:rsidR="00827806" w:rsidRPr="00D70CD1">
        <w:rPr>
          <w:rFonts w:ascii="仿宋" w:eastAsia="仿宋" w:hAnsi="仿宋" w:hint="eastAsia"/>
        </w:rPr>
        <w:t xml:space="preserve"> </w:t>
      </w:r>
      <w:r w:rsidRPr="00D70CD1">
        <w:rPr>
          <w:rFonts w:ascii="仿宋" w:eastAsia="仿宋" w:hAnsi="仿宋" w:hint="eastAsia"/>
        </w:rPr>
        <w:t>%。</w:t>
      </w:r>
    </w:p>
    <w:p w:rsidR="00E14B4B" w:rsidRPr="00D70CD1" w:rsidRDefault="00E14B4B" w:rsidP="00E14B4B">
      <w:pPr>
        <w:spacing w:line="580" w:lineRule="exact"/>
        <w:ind w:firstLineChars="200" w:firstLine="640"/>
        <w:contextualSpacing/>
        <w:rPr>
          <w:rFonts w:ascii="仿宋" w:eastAsia="仿宋" w:hAnsi="仿宋"/>
        </w:rPr>
      </w:pPr>
      <w:r w:rsidRPr="00D70CD1">
        <w:rPr>
          <w:rFonts w:ascii="仿宋" w:eastAsia="仿宋" w:hAnsi="仿宋" w:hint="eastAsia"/>
        </w:rPr>
        <w:t>3、资金管理情况</w:t>
      </w:r>
    </w:p>
    <w:p w:rsidR="00E14B4B" w:rsidRPr="00D70CD1" w:rsidRDefault="009365E8" w:rsidP="00E14B4B">
      <w:pPr>
        <w:spacing w:line="580" w:lineRule="exact"/>
        <w:ind w:firstLineChars="200" w:firstLine="640"/>
        <w:contextualSpacing/>
        <w:rPr>
          <w:rFonts w:ascii="仿宋" w:eastAsia="仿宋" w:hAnsi="仿宋"/>
        </w:rPr>
      </w:pPr>
      <w:r w:rsidRPr="00D70CD1">
        <w:rPr>
          <w:rFonts w:ascii="仿宋" w:eastAsia="仿宋" w:hAnsi="仿宋" w:hint="eastAsia"/>
        </w:rPr>
        <w:t>(1)</w:t>
      </w:r>
      <w:r w:rsidR="00967CA5" w:rsidRPr="00D70CD1">
        <w:rPr>
          <w:rFonts w:ascii="仿宋" w:eastAsia="仿宋" w:hAnsi="仿宋" w:cs="仿宋" w:hint="eastAsia"/>
        </w:rPr>
        <w:t>按照各项财务管理</w:t>
      </w:r>
      <w:r w:rsidR="006606CF" w:rsidRPr="00D70CD1">
        <w:rPr>
          <w:rFonts w:ascii="仿宋" w:eastAsia="仿宋" w:hAnsi="仿宋" w:cs="仿宋" w:hint="eastAsia"/>
        </w:rPr>
        <w:t>规定和要求</w:t>
      </w:r>
      <w:r w:rsidR="00967CA5" w:rsidRPr="00D70CD1">
        <w:rPr>
          <w:rFonts w:ascii="仿宋" w:eastAsia="仿宋" w:hAnsi="仿宋" w:cs="仿宋" w:hint="eastAsia"/>
        </w:rPr>
        <w:t>，单位领导</w:t>
      </w:r>
      <w:r w:rsidR="00CE721E" w:rsidRPr="00D70CD1">
        <w:rPr>
          <w:rFonts w:ascii="仿宋" w:eastAsia="仿宋" w:hAnsi="仿宋" w:cs="仿宋" w:hint="eastAsia"/>
        </w:rPr>
        <w:t>重视财务管理工作，</w:t>
      </w:r>
      <w:r w:rsidR="00967CA5" w:rsidRPr="00D70CD1">
        <w:rPr>
          <w:rFonts w:ascii="仿宋" w:eastAsia="仿宋" w:hAnsi="仿宋" w:cs="仿宋" w:hint="eastAsia"/>
        </w:rPr>
        <w:t>制定单位财务管理制度</w:t>
      </w:r>
      <w:r w:rsidR="006606CF" w:rsidRPr="00D70CD1">
        <w:rPr>
          <w:rFonts w:ascii="仿宋" w:eastAsia="仿宋" w:hAnsi="仿宋" w:cs="仿宋" w:hint="eastAsia"/>
        </w:rPr>
        <w:t>和约束机制</w:t>
      </w:r>
      <w:r w:rsidR="00967CA5" w:rsidRPr="00D70CD1">
        <w:rPr>
          <w:rFonts w:ascii="仿宋" w:eastAsia="仿宋" w:hAnsi="仿宋" w:cs="仿宋" w:hint="eastAsia"/>
        </w:rPr>
        <w:t>，明确财务管理事项</w:t>
      </w:r>
      <w:r w:rsidR="006606CF" w:rsidRPr="00D70CD1">
        <w:rPr>
          <w:rFonts w:ascii="仿宋" w:eastAsia="仿宋" w:hAnsi="仿宋" w:cs="仿宋" w:hint="eastAsia"/>
        </w:rPr>
        <w:t>，进一步促进我单位各项经费支出合理、合</w:t>
      </w:r>
      <w:proofErr w:type="gramStart"/>
      <w:r w:rsidR="006606CF" w:rsidRPr="00D70CD1">
        <w:rPr>
          <w:rFonts w:ascii="仿宋" w:eastAsia="仿宋" w:hAnsi="仿宋" w:cs="仿宋" w:hint="eastAsia"/>
        </w:rPr>
        <w:t>规</w:t>
      </w:r>
      <w:proofErr w:type="gramEnd"/>
      <w:r w:rsidR="006606CF" w:rsidRPr="00D70CD1">
        <w:rPr>
          <w:rFonts w:ascii="仿宋" w:eastAsia="仿宋" w:hAnsi="仿宋" w:cs="仿宋" w:hint="eastAsia"/>
        </w:rPr>
        <w:t>、科学、有效。</w:t>
      </w:r>
    </w:p>
    <w:p w:rsidR="006F07FF" w:rsidRPr="00D70CD1" w:rsidRDefault="00E14B4B" w:rsidP="006F07FF">
      <w:pPr>
        <w:spacing w:line="580" w:lineRule="exact"/>
        <w:ind w:firstLineChars="200" w:firstLine="640"/>
        <w:contextualSpacing/>
        <w:rPr>
          <w:rFonts w:ascii="仿宋" w:eastAsia="仿宋" w:hAnsi="仿宋" w:cs="仿宋"/>
        </w:rPr>
      </w:pPr>
      <w:r w:rsidRPr="00D70CD1">
        <w:rPr>
          <w:rFonts w:ascii="仿宋" w:eastAsia="仿宋" w:hAnsi="仿宋" w:hint="eastAsia"/>
        </w:rPr>
        <w:t>(2)</w:t>
      </w:r>
      <w:r w:rsidR="00CE721E" w:rsidRPr="00D70CD1">
        <w:rPr>
          <w:rFonts w:ascii="仿宋" w:eastAsia="仿宋" w:hAnsi="仿宋" w:cs="仿宋" w:hint="eastAsia"/>
        </w:rPr>
        <w:t xml:space="preserve"> 在预算执行过程中，相关责任人按照制度要求，认真履行职责，严格审查每项支出、每张原始凭证的真实性、</w:t>
      </w:r>
      <w:r w:rsidR="00CE721E" w:rsidRPr="00D70CD1">
        <w:rPr>
          <w:rFonts w:ascii="仿宋" w:eastAsia="仿宋" w:hAnsi="仿宋" w:cs="仿宋" w:hint="eastAsia"/>
        </w:rPr>
        <w:lastRenderedPageBreak/>
        <w:t>有效性，确保各项支出在阳光监督之下进行，坚决杜绝铺张浪费行为，各项公用经费，都得到有效控制。</w:t>
      </w:r>
    </w:p>
    <w:p w:rsidR="00E14B4B" w:rsidRDefault="00E14B4B" w:rsidP="006F07FF">
      <w:pPr>
        <w:spacing w:line="580" w:lineRule="exact"/>
        <w:ind w:firstLineChars="200" w:firstLine="640"/>
        <w:contextualSpacing/>
      </w:pPr>
      <w:r>
        <w:rPr>
          <w:rFonts w:hint="eastAsia"/>
          <w:b/>
          <w:bCs/>
        </w:rPr>
        <w:t>四、整体支出绩效目标完成情况</w:t>
      </w:r>
    </w:p>
    <w:p w:rsidR="002E0F78" w:rsidRPr="00D70CD1" w:rsidRDefault="007A7058" w:rsidP="002E0F78">
      <w:pPr>
        <w:ind w:firstLineChars="200" w:firstLine="640"/>
        <w:rPr>
          <w:rFonts w:ascii="仿宋" w:eastAsia="仿宋" w:hAnsi="仿宋" w:cs="仿宋"/>
          <w:sz w:val="30"/>
          <w:szCs w:val="30"/>
        </w:rPr>
      </w:pPr>
      <w:r>
        <w:rPr>
          <w:rFonts w:ascii="仿宋" w:eastAsia="仿宋" w:hAnsi="仿宋" w:cs="仿宋" w:hint="eastAsia"/>
        </w:rPr>
        <w:t>1、</w:t>
      </w:r>
      <w:r w:rsidR="002E0F78" w:rsidRPr="00D70CD1">
        <w:rPr>
          <w:rFonts w:ascii="仿宋" w:eastAsia="仿宋" w:hAnsi="仿宋" w:cs="仿宋" w:hint="eastAsia"/>
        </w:rPr>
        <w:t xml:space="preserve">、2021年参保单位 </w:t>
      </w:r>
      <w:r>
        <w:rPr>
          <w:rFonts w:ascii="仿宋" w:eastAsia="仿宋" w:hAnsi="仿宋" w:cs="仿宋" w:hint="eastAsia"/>
        </w:rPr>
        <w:t>306</w:t>
      </w:r>
      <w:r w:rsidR="002E0F78" w:rsidRPr="00D70CD1">
        <w:rPr>
          <w:rFonts w:ascii="仿宋" w:eastAsia="仿宋" w:hAnsi="仿宋" w:cs="仿宋" w:hint="eastAsia"/>
        </w:rPr>
        <w:t>家，累计参保人数</w:t>
      </w:r>
      <w:r>
        <w:rPr>
          <w:rFonts w:ascii="仿宋" w:eastAsia="仿宋" w:hAnsi="仿宋" w:cs="仿宋" w:hint="eastAsia"/>
        </w:rPr>
        <w:t>16008</w:t>
      </w:r>
      <w:r w:rsidR="002E0F78" w:rsidRPr="00D70CD1">
        <w:rPr>
          <w:rFonts w:ascii="仿宋" w:eastAsia="仿宋" w:hAnsi="仿宋" w:cs="仿宋" w:hint="eastAsia"/>
        </w:rPr>
        <w:t>人，基金征缴收入</w:t>
      </w:r>
      <w:r>
        <w:rPr>
          <w:rFonts w:ascii="仿宋" w:eastAsia="仿宋" w:hAnsi="仿宋" w:cs="仿宋" w:hint="eastAsia"/>
        </w:rPr>
        <w:t>889</w:t>
      </w:r>
      <w:r w:rsidR="002E0F78" w:rsidRPr="00D70CD1">
        <w:rPr>
          <w:rFonts w:ascii="仿宋" w:eastAsia="仿宋" w:hAnsi="仿宋" w:cs="仿宋" w:hint="eastAsia"/>
        </w:rPr>
        <w:t>万元，发生工伤事故1</w:t>
      </w:r>
      <w:r>
        <w:rPr>
          <w:rFonts w:ascii="仿宋" w:eastAsia="仿宋" w:hAnsi="仿宋" w:cs="仿宋" w:hint="eastAsia"/>
        </w:rPr>
        <w:t>35</w:t>
      </w:r>
      <w:r w:rsidR="002E0F78" w:rsidRPr="00D70CD1">
        <w:rPr>
          <w:rFonts w:ascii="仿宋" w:eastAsia="仿宋" w:hAnsi="仿宋" w:cs="仿宋" w:hint="eastAsia"/>
        </w:rPr>
        <w:t>起，支付工伤待遇费</w:t>
      </w:r>
      <w:r>
        <w:rPr>
          <w:rFonts w:ascii="仿宋" w:eastAsia="仿宋" w:hAnsi="仿宋" w:cs="仿宋" w:hint="eastAsia"/>
        </w:rPr>
        <w:t>1014</w:t>
      </w:r>
      <w:r w:rsidR="002E0F78" w:rsidRPr="00D70CD1">
        <w:rPr>
          <w:rFonts w:ascii="仿宋" w:eastAsia="仿宋" w:hAnsi="仿宋" w:cs="仿宋" w:hint="eastAsia"/>
        </w:rPr>
        <w:t>万元。</w:t>
      </w:r>
    </w:p>
    <w:p w:rsidR="002E0F78" w:rsidRPr="00D70CD1" w:rsidRDefault="007A7058" w:rsidP="002E0F78">
      <w:pPr>
        <w:ind w:firstLineChars="200" w:firstLine="640"/>
        <w:rPr>
          <w:rFonts w:ascii="仿宋" w:eastAsia="仿宋" w:hAnsi="仿宋" w:cs="仿宋"/>
        </w:rPr>
      </w:pPr>
      <w:r>
        <w:rPr>
          <w:rFonts w:ascii="仿宋" w:eastAsia="仿宋" w:hAnsi="仿宋" w:cs="仿宋" w:hint="eastAsia"/>
        </w:rPr>
        <w:t>2</w:t>
      </w:r>
      <w:r w:rsidR="002E0F78" w:rsidRPr="00D70CD1">
        <w:rPr>
          <w:rFonts w:ascii="仿宋" w:eastAsia="仿宋" w:hAnsi="仿宋" w:cs="仿宋" w:hint="eastAsia"/>
        </w:rPr>
        <w:t>、</w:t>
      </w:r>
      <w:r w:rsidR="002E0F78" w:rsidRPr="00D70CD1">
        <w:rPr>
          <w:rFonts w:ascii="仿宋" w:eastAsia="仿宋" w:hAnsi="仿宋" w:cs="仿宋" w:hint="eastAsia"/>
          <w:bCs/>
        </w:rPr>
        <w:t>进一步加强工伤保险宣传工作</w:t>
      </w:r>
    </w:p>
    <w:p w:rsidR="002E0F78" w:rsidRPr="00D70CD1" w:rsidRDefault="002E0F78" w:rsidP="002E0F78">
      <w:pPr>
        <w:ind w:firstLineChars="200" w:firstLine="640"/>
        <w:rPr>
          <w:rFonts w:ascii="仿宋" w:eastAsia="仿宋" w:hAnsi="仿宋"/>
        </w:rPr>
      </w:pPr>
      <w:r w:rsidRPr="00D70CD1">
        <w:rPr>
          <w:rFonts w:ascii="仿宋" w:eastAsia="仿宋" w:hAnsi="仿宋" w:hint="eastAsia"/>
        </w:rPr>
        <w:t>我们始终认为宣传是保证工伤保险影响力的重要条件，是参保单位和职工了解、理解、支持工伤保险的窗口，为此我们制定了以下宣传方式：一是充分利用本县较有影响的户外媒体、网络、自媒体等宣传渠道通过网络、</w:t>
      </w:r>
      <w:proofErr w:type="gramStart"/>
      <w:r w:rsidRPr="00D70CD1">
        <w:rPr>
          <w:rFonts w:ascii="仿宋" w:eastAsia="仿宋" w:hAnsi="仿宋" w:hint="eastAsia"/>
        </w:rPr>
        <w:t>微信公共</w:t>
      </w:r>
      <w:proofErr w:type="gramEnd"/>
      <w:r w:rsidRPr="00D70CD1">
        <w:rPr>
          <w:rFonts w:ascii="仿宋" w:eastAsia="仿宋" w:hAnsi="仿宋" w:hint="eastAsia"/>
        </w:rPr>
        <w:t>平台、户外媒体播放宣传片、宣传标语、拍摄微电影、印发宣传手册，进行全方位、立体式宣传。二是组织工作人员上街向群众宣传以新《工伤保险条例》为主题的有关政策咨询活动，印发宣传资料，讲解有关政策，把近段时间发生的多起工伤事故向各单位进行宣传，讲解工伤保险的办事程序，取得了很好的效果。三是组织参保单</w:t>
      </w:r>
      <w:proofErr w:type="gramStart"/>
      <w:r w:rsidRPr="00D70CD1">
        <w:rPr>
          <w:rFonts w:ascii="仿宋" w:eastAsia="仿宋" w:hAnsi="仿宋" w:hint="eastAsia"/>
        </w:rPr>
        <w:t>位加强</w:t>
      </w:r>
      <w:proofErr w:type="gramEnd"/>
      <w:r w:rsidRPr="00D70CD1">
        <w:rPr>
          <w:rFonts w:ascii="仿宋" w:eastAsia="仿宋" w:hAnsi="仿宋" w:hint="eastAsia"/>
        </w:rPr>
        <w:t>政策学习，对各参保单位进行工伤保险业务知识进行培训，通过培训使各参保单位对工伤保险有更深的认识。四是</w:t>
      </w:r>
      <w:r w:rsidRPr="00D70CD1">
        <w:rPr>
          <w:rFonts w:ascii="仿宋" w:eastAsia="仿宋" w:hAnsi="仿宋" w:cs="仿宋" w:hint="eastAsia"/>
        </w:rPr>
        <w:t>深入各乡镇上门悬挂工伤保险政策的标语，现场业务政策咨询，张贴工伤预防挂图，发放宣传资料等形式向企业经营者和劳动者宣传了工伤保险政策。本次宣传现场悬挂标语100条、张贴16套挂图、5000</w:t>
      </w:r>
      <w:r w:rsidRPr="00D70CD1">
        <w:rPr>
          <w:rFonts w:ascii="仿宋" w:eastAsia="仿宋" w:hAnsi="仿宋" w:cs="仿宋" w:hint="eastAsia"/>
        </w:rPr>
        <w:lastRenderedPageBreak/>
        <w:t>余份资料、大型宣传牌8块，同时用麻阳移传媒的户外大型LED显示屏、</w:t>
      </w:r>
      <w:proofErr w:type="gramStart"/>
      <w:r w:rsidRPr="00D70CD1">
        <w:rPr>
          <w:rFonts w:ascii="仿宋" w:eastAsia="仿宋" w:hAnsi="仿宋" w:cs="仿宋" w:hint="eastAsia"/>
        </w:rPr>
        <w:t>微信公众号</w:t>
      </w:r>
      <w:proofErr w:type="gramEnd"/>
      <w:r w:rsidRPr="00D70CD1">
        <w:rPr>
          <w:rFonts w:ascii="仿宋" w:eastAsia="仿宋" w:hAnsi="仿宋" w:cs="仿宋" w:hint="eastAsia"/>
        </w:rPr>
        <w:t>、麻阳新媒体、宣传片、公益广告牌等多媒体进行多方位宣传报道，</w:t>
      </w:r>
      <w:r w:rsidRPr="00D70CD1">
        <w:rPr>
          <w:rFonts w:ascii="仿宋" w:eastAsia="仿宋" w:hAnsi="仿宋" w:cs="仿宋_GB2312" w:hint="eastAsia"/>
        </w:rPr>
        <w:t>收到了良好的效果。</w:t>
      </w:r>
    </w:p>
    <w:p w:rsidR="002E0F78" w:rsidRPr="00D70CD1" w:rsidRDefault="007A7058" w:rsidP="007A7058">
      <w:pPr>
        <w:ind w:firstLineChars="200" w:firstLine="640"/>
        <w:rPr>
          <w:rFonts w:ascii="仿宋" w:eastAsia="仿宋" w:hAnsi="仿宋" w:cs="仿宋"/>
          <w:bCs/>
        </w:rPr>
      </w:pPr>
      <w:r>
        <w:rPr>
          <w:rFonts w:ascii="仿宋" w:eastAsia="仿宋" w:hAnsi="仿宋" w:cs="仿宋" w:hint="eastAsia"/>
          <w:bCs/>
        </w:rPr>
        <w:t>3、</w:t>
      </w:r>
      <w:r w:rsidR="002E0F78" w:rsidRPr="00D70CD1">
        <w:rPr>
          <w:rFonts w:ascii="仿宋" w:eastAsia="仿宋" w:hAnsi="仿宋" w:cs="仿宋" w:hint="eastAsia"/>
          <w:bCs/>
        </w:rPr>
        <w:t>全面落实改革政策，提高工伤保险征缴面</w:t>
      </w:r>
    </w:p>
    <w:p w:rsidR="002E0F78" w:rsidRPr="00D70CD1" w:rsidRDefault="007A7058" w:rsidP="002E0F78">
      <w:pPr>
        <w:ind w:firstLineChars="150" w:firstLine="480"/>
        <w:rPr>
          <w:rFonts w:ascii="仿宋" w:eastAsia="仿宋" w:hAnsi="仿宋"/>
        </w:rPr>
      </w:pPr>
      <w:r>
        <w:rPr>
          <w:rFonts w:ascii="仿宋" w:eastAsia="仿宋" w:hAnsi="仿宋" w:cs="仿宋" w:hint="eastAsia"/>
        </w:rPr>
        <w:t>（</w:t>
      </w:r>
      <w:r w:rsidR="002E0F78" w:rsidRPr="00D70CD1">
        <w:rPr>
          <w:rFonts w:ascii="仿宋" w:eastAsia="仿宋" w:hAnsi="仿宋" w:cs="仿宋" w:hint="eastAsia"/>
        </w:rPr>
        <w:t>1</w:t>
      </w:r>
      <w:r>
        <w:rPr>
          <w:rFonts w:ascii="仿宋" w:eastAsia="仿宋" w:hAnsi="仿宋" w:cs="仿宋" w:hint="eastAsia"/>
        </w:rPr>
        <w:t>）</w:t>
      </w:r>
      <w:r w:rsidR="002E0F78" w:rsidRPr="00D70CD1">
        <w:rPr>
          <w:rFonts w:ascii="仿宋" w:eastAsia="仿宋" w:hAnsi="仿宋" w:cs="仿宋" w:hint="eastAsia"/>
        </w:rPr>
        <w:t>为进一步帮助企业特别是中小</w:t>
      </w:r>
      <w:proofErr w:type="gramStart"/>
      <w:r w:rsidR="002E0F78" w:rsidRPr="00D70CD1">
        <w:rPr>
          <w:rFonts w:ascii="仿宋" w:eastAsia="仿宋" w:hAnsi="仿宋" w:cs="仿宋" w:hint="eastAsia"/>
        </w:rPr>
        <w:t>微企业</w:t>
      </w:r>
      <w:proofErr w:type="gramEnd"/>
      <w:r w:rsidR="002E0F78" w:rsidRPr="00D70CD1">
        <w:rPr>
          <w:rFonts w:ascii="仿宋" w:eastAsia="仿宋" w:hAnsi="仿宋" w:cs="仿宋" w:hint="eastAsia"/>
        </w:rPr>
        <w:t>应对风险、渡过难关，减轻企业的缴费负担，根据,&lt;&lt;关于延长阶段性减免企业社会保险</w:t>
      </w:r>
      <w:proofErr w:type="gramStart"/>
      <w:r w:rsidR="002E0F78" w:rsidRPr="00D70CD1">
        <w:rPr>
          <w:rFonts w:ascii="仿宋" w:eastAsia="仿宋" w:hAnsi="仿宋" w:cs="仿宋" w:hint="eastAsia"/>
        </w:rPr>
        <w:t>费政策</w:t>
      </w:r>
      <w:proofErr w:type="gramEnd"/>
      <w:r w:rsidR="002E0F78" w:rsidRPr="00D70CD1">
        <w:rPr>
          <w:rFonts w:ascii="仿宋" w:eastAsia="仿宋" w:hAnsi="仿宋" w:cs="仿宋" w:hint="eastAsia"/>
        </w:rPr>
        <w:t>实施期限等问题的通知&gt;&gt;（</w:t>
      </w:r>
      <w:proofErr w:type="gramStart"/>
      <w:r w:rsidR="002E0F78" w:rsidRPr="00D70CD1">
        <w:rPr>
          <w:rFonts w:ascii="仿宋" w:eastAsia="仿宋" w:hAnsi="仿宋" w:cs="仿宋" w:hint="eastAsia"/>
        </w:rPr>
        <w:t>人社部</w:t>
      </w:r>
      <w:proofErr w:type="gramEnd"/>
      <w:r w:rsidR="002E0F78" w:rsidRPr="00D70CD1">
        <w:rPr>
          <w:rFonts w:ascii="仿宋" w:eastAsia="仿宋" w:hAnsi="仿宋" w:cs="仿宋" w:hint="eastAsia"/>
        </w:rPr>
        <w:t>【2020】49号）文件精神。</w:t>
      </w:r>
      <w:r w:rsidR="002E0F78" w:rsidRPr="00D70CD1">
        <w:rPr>
          <w:rFonts w:ascii="仿宋" w:eastAsia="仿宋" w:hAnsi="仿宋" w:hint="eastAsia"/>
        </w:rPr>
        <w:t>截止12月底工伤保险降费减免工伤保险费470万元，已全部完成任务，我县工伤保险参保单位中没有大型企业，所以就没有实施减半征收政策，所涉及的工伤保险任务清单和责任清单的内容已全部完成。我们的主要做法：一是落实工伤保险减免政策，制定阶段性减免的工作方法，明确减免范围、方式和经办流程。二是加大宣传力度利用本县宣传媒体帮助企业复工复产。</w:t>
      </w:r>
    </w:p>
    <w:p w:rsidR="002E0F78" w:rsidRPr="00D70CD1" w:rsidRDefault="007A7058" w:rsidP="007A7058">
      <w:pPr>
        <w:ind w:firstLineChars="150" w:firstLine="480"/>
        <w:rPr>
          <w:rFonts w:ascii="仿宋" w:eastAsia="仿宋" w:hAnsi="仿宋" w:cs="仿宋"/>
        </w:rPr>
      </w:pPr>
      <w:r>
        <w:rPr>
          <w:rFonts w:ascii="仿宋" w:eastAsia="仿宋" w:hAnsi="仿宋" w:cs="仿宋" w:hint="eastAsia"/>
        </w:rPr>
        <w:t>（</w:t>
      </w:r>
      <w:r w:rsidR="002E0F78" w:rsidRPr="00D70CD1">
        <w:rPr>
          <w:rFonts w:ascii="仿宋" w:eastAsia="仿宋" w:hAnsi="仿宋" w:cs="仿宋" w:hint="eastAsia"/>
        </w:rPr>
        <w:t>2</w:t>
      </w:r>
      <w:r>
        <w:rPr>
          <w:rFonts w:ascii="仿宋" w:eastAsia="仿宋" w:hAnsi="仿宋" w:cs="仿宋" w:hint="eastAsia"/>
        </w:rPr>
        <w:t>）</w:t>
      </w:r>
      <w:r w:rsidR="002E0F78" w:rsidRPr="00D70CD1">
        <w:rPr>
          <w:rFonts w:ascii="仿宋" w:eastAsia="仿宋" w:hAnsi="仿宋" w:cs="仿宋" w:hint="eastAsia"/>
        </w:rPr>
        <w:t>为了加强工伤保险基金管理工作，我们与市里统一了工伤保险参保范围和参保对象，统一了工伤保险费率政策和缴费标准，统一了工伤认定和劳动能力鉴定办法，统一了工伤保险待遇支出标准，统一了工伤保险经办流程和信息系统。</w:t>
      </w:r>
    </w:p>
    <w:p w:rsidR="002E0F78" w:rsidRPr="00D70CD1" w:rsidRDefault="007A7058" w:rsidP="002E0F78">
      <w:pPr>
        <w:ind w:firstLineChars="200" w:firstLine="640"/>
        <w:rPr>
          <w:rFonts w:ascii="仿宋" w:eastAsia="仿宋" w:hAnsi="仿宋" w:cs="仿宋"/>
        </w:rPr>
      </w:pPr>
      <w:r>
        <w:rPr>
          <w:rFonts w:ascii="仿宋" w:eastAsia="仿宋" w:hAnsi="仿宋" w:cs="仿宋" w:hint="eastAsia"/>
        </w:rPr>
        <w:t>（3）</w:t>
      </w:r>
      <w:r w:rsidR="002E0F78" w:rsidRPr="00D70CD1">
        <w:rPr>
          <w:rFonts w:ascii="仿宋" w:eastAsia="仿宋" w:hAnsi="仿宋" w:cs="仿宋" w:hint="eastAsia"/>
        </w:rPr>
        <w:t>为规范施工单位参加工伤保险，加强建筑施工企业的人员管理。根据</w:t>
      </w:r>
      <w:proofErr w:type="gramStart"/>
      <w:r w:rsidR="002E0F78" w:rsidRPr="00D70CD1">
        <w:rPr>
          <w:rFonts w:ascii="仿宋" w:eastAsia="仿宋" w:hAnsi="仿宋" w:cs="仿宋" w:hint="eastAsia"/>
        </w:rPr>
        <w:t>怀工险函</w:t>
      </w:r>
      <w:proofErr w:type="gramEnd"/>
      <w:r w:rsidR="002E0F78" w:rsidRPr="00D70CD1">
        <w:rPr>
          <w:rFonts w:ascii="仿宋" w:eastAsia="仿宋" w:hAnsi="仿宋" w:cs="仿宋" w:hint="eastAsia"/>
        </w:rPr>
        <w:t>[2020]5号文《关于按工程项目参保的建筑施工企业实行实名制管理的通知》的规定，我</w:t>
      </w:r>
      <w:r w:rsidR="002E0F78" w:rsidRPr="00D70CD1">
        <w:rPr>
          <w:rFonts w:ascii="仿宋" w:eastAsia="仿宋" w:hAnsi="仿宋" w:cs="仿宋" w:hint="eastAsia"/>
        </w:rPr>
        <w:lastRenderedPageBreak/>
        <w:t>县城内按工程参保的企业，所招录并签订劳动合同关系的务工人员，以及进入施工现场的建设单位、承包单位、监理单位的管理人员，统一纳入实名制参保管理。履行工伤保险义务，并建立完善的快捷方便的信息服务平台，做到</w:t>
      </w:r>
      <w:proofErr w:type="gramStart"/>
      <w:r w:rsidR="002E0F78" w:rsidRPr="00D70CD1">
        <w:rPr>
          <w:rFonts w:ascii="仿宋" w:eastAsia="仿宋" w:hAnsi="仿宋" w:cs="仿宋" w:hint="eastAsia"/>
        </w:rPr>
        <w:t>不</w:t>
      </w:r>
      <w:proofErr w:type="gramEnd"/>
      <w:r w:rsidR="002E0F78" w:rsidRPr="00D70CD1">
        <w:rPr>
          <w:rFonts w:ascii="仿宋" w:eastAsia="仿宋" w:hAnsi="仿宋" w:cs="仿宋" w:hint="eastAsia"/>
        </w:rPr>
        <w:t>漏报、</w:t>
      </w:r>
      <w:proofErr w:type="gramStart"/>
      <w:r w:rsidR="002E0F78" w:rsidRPr="00D70CD1">
        <w:rPr>
          <w:rFonts w:ascii="仿宋" w:eastAsia="仿宋" w:hAnsi="仿宋" w:cs="仿宋" w:hint="eastAsia"/>
        </w:rPr>
        <w:t>不</w:t>
      </w:r>
      <w:proofErr w:type="gramEnd"/>
      <w:r w:rsidR="002E0F78" w:rsidRPr="00D70CD1">
        <w:rPr>
          <w:rFonts w:ascii="仿宋" w:eastAsia="仿宋" w:hAnsi="仿宋" w:cs="仿宋" w:hint="eastAsia"/>
        </w:rPr>
        <w:t>瞒报、不谎报，切实提高安全生产和工伤预防的思想认识。通过宣传加强对务工人员安全生产和工伤预防的培训，减少工伤事故的发生。</w:t>
      </w:r>
    </w:p>
    <w:p w:rsidR="002E0F78" w:rsidRPr="00D70CD1" w:rsidRDefault="007A7058" w:rsidP="007A7058">
      <w:pPr>
        <w:ind w:firstLineChars="150" w:firstLine="480"/>
        <w:rPr>
          <w:rFonts w:ascii="仿宋" w:eastAsia="仿宋" w:hAnsi="仿宋" w:cs="仿宋"/>
        </w:rPr>
      </w:pPr>
      <w:r>
        <w:rPr>
          <w:rFonts w:ascii="仿宋" w:eastAsia="仿宋" w:hAnsi="仿宋" w:cs="仿宋" w:hint="eastAsia"/>
        </w:rPr>
        <w:t>（4）</w:t>
      </w:r>
      <w:r w:rsidR="002E0F78" w:rsidRPr="00D70CD1">
        <w:rPr>
          <w:rFonts w:ascii="仿宋" w:eastAsia="仿宋" w:hAnsi="仿宋" w:cs="仿宋" w:hint="eastAsia"/>
        </w:rPr>
        <w:t>建立健全工伤赔偿连带责任追究机制，由上级领导牵头，协调相关职能部门制订建筑行业农民工参加工伤保险工作的实施方案，对于未参加工伤保险的施工企业发生重大工伤事故，追究其连带责任。</w:t>
      </w:r>
    </w:p>
    <w:p w:rsidR="002E0F78" w:rsidRPr="00D70CD1" w:rsidRDefault="007A7058" w:rsidP="007A7058">
      <w:pPr>
        <w:ind w:firstLineChars="150" w:firstLine="480"/>
        <w:rPr>
          <w:rFonts w:ascii="仿宋" w:eastAsia="仿宋" w:hAnsi="仿宋" w:cs="仿宋"/>
        </w:rPr>
      </w:pPr>
      <w:r>
        <w:rPr>
          <w:rFonts w:ascii="仿宋" w:eastAsia="仿宋" w:hAnsi="仿宋" w:cs="仿宋" w:hint="eastAsia"/>
        </w:rPr>
        <w:t>（5</w:t>
      </w:r>
      <w:r>
        <w:rPr>
          <w:rFonts w:ascii="仿宋" w:eastAsia="仿宋" w:hAnsi="仿宋" w:cs="仿宋"/>
        </w:rPr>
        <w:t>）</w:t>
      </w:r>
      <w:r w:rsidR="002E0F78" w:rsidRPr="00D70CD1">
        <w:rPr>
          <w:rFonts w:ascii="仿宋" w:eastAsia="仿宋" w:hAnsi="仿宋" w:cs="仿宋" w:hint="eastAsia"/>
        </w:rPr>
        <w:t>严格督查，严厉打击工伤保险政策推行中发现的违法违规行为。组织联合调查人员对建筑施工安全生产大检查和打非治违专项检查，将企业、项目参加工伤保险情况作为我县建筑施工安全生产执法检查的必查重点内容，督促建筑企业和项目做到“应保尽保”。发现不按规定参加工伤保险的违法违规行为的，下达劳动保障监察责令改正决定书。将拒不参加工伤保险的建筑施工单位企业全面纳入诚信体系，并将不参加工伤保险违法行为的不良信用信息，及时报送建设部门，进行联合失信惩戒。</w:t>
      </w:r>
    </w:p>
    <w:p w:rsidR="007A7058" w:rsidRDefault="007A7058" w:rsidP="007A7058">
      <w:pPr>
        <w:ind w:firstLineChars="200" w:firstLine="640"/>
        <w:rPr>
          <w:rFonts w:ascii="仿宋" w:eastAsia="仿宋" w:hAnsi="仿宋" w:cs="仿宋" w:hint="eastAsia"/>
          <w:color w:val="383737"/>
        </w:rPr>
      </w:pPr>
      <w:r>
        <w:rPr>
          <w:rFonts w:ascii="仿宋" w:eastAsia="仿宋" w:hAnsi="仿宋" w:cs="仿宋" w:hint="eastAsia"/>
          <w:color w:val="383737"/>
        </w:rPr>
        <w:t>(6)</w:t>
      </w:r>
      <w:r w:rsidR="002E0F78" w:rsidRPr="00D70CD1">
        <w:rPr>
          <w:rFonts w:ascii="仿宋" w:eastAsia="仿宋" w:hAnsi="仿宋" w:cs="仿宋" w:hint="eastAsia"/>
          <w:color w:val="383737"/>
        </w:rPr>
        <w:t>根据《关于开展严厉打击工伤医疗中欺诈骗取工伤保险基金行为集中整治工作的通知》（湘</w:t>
      </w:r>
      <w:proofErr w:type="gramStart"/>
      <w:r w:rsidR="002E0F78" w:rsidRPr="00D70CD1">
        <w:rPr>
          <w:rFonts w:ascii="仿宋" w:eastAsia="仿宋" w:hAnsi="仿宋" w:cs="仿宋" w:hint="eastAsia"/>
          <w:color w:val="383737"/>
        </w:rPr>
        <w:t>人社涵</w:t>
      </w:r>
      <w:proofErr w:type="gramEnd"/>
      <w:r w:rsidR="002E0F78" w:rsidRPr="00D70CD1">
        <w:rPr>
          <w:rFonts w:ascii="仿宋" w:eastAsia="仿宋" w:hAnsi="仿宋" w:cs="仿宋" w:hint="eastAsia"/>
          <w:color w:val="383737"/>
        </w:rPr>
        <w:t>【2021】37</w:t>
      </w:r>
      <w:r w:rsidR="002E0F78" w:rsidRPr="00D70CD1">
        <w:rPr>
          <w:rFonts w:ascii="仿宋" w:eastAsia="仿宋" w:hAnsi="仿宋" w:cs="仿宋" w:hint="eastAsia"/>
          <w:color w:val="383737"/>
        </w:rPr>
        <w:lastRenderedPageBreak/>
        <w:t>号）文件要求，开展了医院自查、属地自查、交叉检查各项工作，进一步完善待遇支付制度，在公开、公正、平等协商的基础上，我经办机构与符合条件的医疗机构签订医疗服务协议，并将工伤保险协议医疗机构的名单向社会予以公布。我们根据上年度工伤协议执行情况对工伤医疗服务协议机构应具备的条件，审批的程序，管理的方式，结算的办法和责任的主体等及时进行修订完善，使制度更加合理，管理更加科学，运行更加规范。</w:t>
      </w:r>
    </w:p>
    <w:p w:rsidR="002E0F78" w:rsidRPr="007A7058" w:rsidRDefault="007A7058" w:rsidP="007A7058">
      <w:pPr>
        <w:ind w:firstLineChars="200" w:firstLine="640"/>
        <w:rPr>
          <w:rFonts w:ascii="仿宋" w:eastAsia="仿宋" w:hAnsi="仿宋" w:cs="仿宋"/>
          <w:color w:val="383737"/>
        </w:rPr>
      </w:pPr>
      <w:r>
        <w:rPr>
          <w:rFonts w:ascii="仿宋" w:eastAsia="仿宋" w:hAnsi="仿宋" w:cs="仿宋" w:hint="eastAsia"/>
          <w:color w:val="383737"/>
        </w:rPr>
        <w:t>(</w:t>
      </w:r>
      <w:r>
        <w:rPr>
          <w:rFonts w:ascii="仿宋" w:eastAsia="仿宋" w:hAnsi="仿宋" w:cs="仿宋" w:hint="eastAsia"/>
        </w:rPr>
        <w:t>7)</w:t>
      </w:r>
      <w:r w:rsidR="002E0F78" w:rsidRPr="00D70CD1">
        <w:rPr>
          <w:rFonts w:ascii="仿宋" w:eastAsia="仿宋" w:hAnsi="仿宋" w:cs="仿宋" w:hint="eastAsia"/>
        </w:rPr>
        <w:t>为确保工伤保险基金的安全性，我中心积极组织开展社会保险基金管理、基金安全培训教育，完善了基金内控制度，建立健全了财务管理制度，制订和完善了一系列规章制度，从源头上做到了用制度约束人，用制度管理人，用制度办理各项业务的要求，使我县的工伤保险基金管理工作走上良性发展的轨道。在工作中认真执行人力资源部《社会保险经办机构内控制度暂行办法》切实做好了组织机构控制、业务运行控制、基金财务控制、信息控制等项工作，没有出现任何</w:t>
      </w:r>
      <w:proofErr w:type="gramStart"/>
      <w:r w:rsidR="002E0F78" w:rsidRPr="00D70CD1">
        <w:rPr>
          <w:rFonts w:ascii="仿宋" w:eastAsia="仿宋" w:hAnsi="仿宋" w:cs="仿宋" w:hint="eastAsia"/>
        </w:rPr>
        <w:t>违法违归情况</w:t>
      </w:r>
      <w:proofErr w:type="gramEnd"/>
      <w:r w:rsidR="002E0F78" w:rsidRPr="00D70CD1">
        <w:rPr>
          <w:rFonts w:ascii="仿宋" w:eastAsia="仿宋" w:hAnsi="仿宋" w:cs="仿宋" w:hint="eastAsia"/>
        </w:rPr>
        <w:t>。</w:t>
      </w:r>
    </w:p>
    <w:p w:rsidR="00010CE4" w:rsidRDefault="00E14B4B" w:rsidP="006F07FF">
      <w:pPr>
        <w:spacing w:line="580" w:lineRule="exact"/>
        <w:ind w:firstLineChars="200" w:firstLine="640"/>
        <w:contextualSpacing/>
      </w:pPr>
      <w:r>
        <w:rPr>
          <w:rFonts w:hint="eastAsia"/>
          <w:b/>
          <w:bCs/>
        </w:rPr>
        <w:t>五、存在的问题</w:t>
      </w:r>
    </w:p>
    <w:p w:rsidR="00010CE4" w:rsidRPr="00D70CD1" w:rsidRDefault="00010CE4" w:rsidP="00010CE4">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b/>
          <w:bCs/>
        </w:rPr>
      </w:pPr>
      <w:r w:rsidRPr="00D70CD1">
        <w:rPr>
          <w:rFonts w:ascii="仿宋" w:eastAsia="仿宋" w:hAnsi="仿宋" w:cs="仿宋" w:hint="eastAsia"/>
        </w:rPr>
        <w:t>在部门整体支出的资金安排和使用上仍有不可预见性，在科学设置预算绩效指标上还需进一步加强，使之更加贴合我</w:t>
      </w:r>
      <w:r w:rsidR="00D70CD1">
        <w:rPr>
          <w:rFonts w:ascii="仿宋" w:eastAsia="仿宋" w:hAnsi="仿宋" w:cs="仿宋" w:hint="eastAsia"/>
        </w:rPr>
        <w:t>单位</w:t>
      </w:r>
      <w:r w:rsidRPr="00D70CD1">
        <w:rPr>
          <w:rFonts w:ascii="仿宋" w:eastAsia="仿宋" w:hAnsi="仿宋" w:cs="仿宋" w:hint="eastAsia"/>
        </w:rPr>
        <w:t>工作的实际。</w:t>
      </w:r>
    </w:p>
    <w:p w:rsidR="00E14B4B" w:rsidRDefault="00E14B4B" w:rsidP="006F07FF">
      <w:pPr>
        <w:spacing w:line="580" w:lineRule="exact"/>
        <w:ind w:firstLineChars="200" w:firstLine="640"/>
        <w:contextualSpacing/>
        <w:rPr>
          <w:b/>
          <w:bCs/>
        </w:rPr>
      </w:pPr>
      <w:r>
        <w:rPr>
          <w:rFonts w:hint="eastAsia"/>
          <w:b/>
          <w:bCs/>
        </w:rPr>
        <w:t>六、改进措施与建议</w:t>
      </w:r>
    </w:p>
    <w:p w:rsidR="00010CE4" w:rsidRPr="0098507B" w:rsidRDefault="007B2F37" w:rsidP="00010CE4">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lastRenderedPageBreak/>
        <w:t>（一）、</w:t>
      </w:r>
      <w:r w:rsidR="00010CE4" w:rsidRPr="0098507B">
        <w:rPr>
          <w:rFonts w:ascii="仿宋" w:eastAsia="仿宋" w:hAnsi="仿宋" w:cs="仿宋" w:hint="eastAsia"/>
        </w:rPr>
        <w:t>部门整体绩效评价工作是一项长期性的工作，专业性强，工作量大，建议加强绩效管理培训，开展经验交流会，切实推进绩效评价工作的开展。</w:t>
      </w:r>
    </w:p>
    <w:p w:rsidR="007B2F37" w:rsidRDefault="007B2F37" w:rsidP="007B2F37">
      <w:pPr>
        <w:ind w:firstLine="640"/>
        <w:rPr>
          <w:rFonts w:ascii="仿宋" w:eastAsia="仿宋" w:hAnsi="仿宋" w:cs="仿宋_GB2312"/>
          <w:color w:val="000000"/>
        </w:rPr>
      </w:pPr>
      <w:r w:rsidRPr="00CE62C8">
        <w:rPr>
          <w:rFonts w:ascii="仿宋" w:eastAsia="仿宋" w:hAnsi="仿宋" w:cs="仿宋_GB2312" w:hint="eastAsia"/>
          <w:color w:val="000000"/>
        </w:rPr>
        <w:t>（二）强化内部管理，进一步完善管理制度。</w:t>
      </w:r>
    </w:p>
    <w:p w:rsidR="003D6A42" w:rsidRPr="00CE62C8" w:rsidRDefault="003D6A42" w:rsidP="007B2F37">
      <w:pPr>
        <w:ind w:firstLine="640"/>
        <w:rPr>
          <w:rFonts w:ascii="仿宋" w:eastAsia="仿宋" w:hAnsi="仿宋" w:cs="仿宋_GB2312"/>
          <w:color w:val="000000"/>
        </w:rPr>
      </w:pPr>
      <w:r>
        <w:rPr>
          <w:rFonts w:ascii="仿宋" w:eastAsia="仿宋" w:hAnsi="仿宋" w:cs="仿宋_GB2312" w:hint="eastAsia"/>
          <w:color w:val="000000"/>
        </w:rPr>
        <w:t>（三）建议县级预算及时安排好经费，确保各项工作实施到位。</w:t>
      </w:r>
    </w:p>
    <w:p w:rsidR="007B2F37" w:rsidRDefault="007B2F37" w:rsidP="007B2F37">
      <w:pPr>
        <w:rPr>
          <w:rFonts w:ascii="仿宋_GB2312" w:hAnsi="仿宋_GB2312" w:cs="仿宋_GB2312"/>
          <w:color w:val="000000"/>
        </w:rPr>
      </w:pPr>
    </w:p>
    <w:p w:rsidR="00E14B4B" w:rsidRPr="007B2F37" w:rsidRDefault="00E14B4B" w:rsidP="00E14B4B">
      <w:pPr>
        <w:spacing w:line="580" w:lineRule="exact"/>
        <w:contextualSpacing/>
      </w:pPr>
    </w:p>
    <w:p w:rsidR="00E14B4B" w:rsidRDefault="00E14B4B" w:rsidP="00E14B4B">
      <w:pPr>
        <w:spacing w:line="580" w:lineRule="exact"/>
        <w:contextualSpacing/>
      </w:pPr>
    </w:p>
    <w:p w:rsidR="006606CF" w:rsidRPr="0098507B" w:rsidRDefault="006606CF" w:rsidP="006606CF">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jc w:val="right"/>
        <w:rPr>
          <w:rFonts w:ascii="仿宋" w:eastAsia="仿宋" w:hAnsi="仿宋" w:cs="仿宋"/>
        </w:rPr>
      </w:pPr>
      <w:r w:rsidRPr="0098507B">
        <w:rPr>
          <w:rFonts w:ascii="仿宋" w:eastAsia="仿宋" w:hAnsi="仿宋" w:cs="仿宋" w:hint="eastAsia"/>
        </w:rPr>
        <w:t>麻阳苗族自治县</w:t>
      </w:r>
      <w:r w:rsidR="001B018D">
        <w:rPr>
          <w:rFonts w:ascii="仿宋" w:eastAsia="仿宋" w:hAnsi="仿宋" w:cs="仿宋" w:hint="eastAsia"/>
        </w:rPr>
        <w:t>工伤保险服务中心</w:t>
      </w:r>
    </w:p>
    <w:p w:rsidR="006606CF" w:rsidRPr="0098507B" w:rsidRDefault="006606CF" w:rsidP="006606CF">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leftChars="1714" w:left="5485"/>
        <w:rPr>
          <w:rFonts w:ascii="仿宋" w:eastAsia="仿宋" w:hAnsi="仿宋" w:cs="仿宋"/>
        </w:rPr>
      </w:pPr>
      <w:r w:rsidRPr="0098507B">
        <w:rPr>
          <w:rFonts w:ascii="仿宋" w:eastAsia="仿宋" w:hAnsi="仿宋" w:cs="仿宋" w:hint="eastAsia"/>
        </w:rPr>
        <w:t>202</w:t>
      </w:r>
      <w:r>
        <w:rPr>
          <w:rFonts w:ascii="仿宋" w:eastAsia="仿宋" w:hAnsi="仿宋" w:cs="仿宋" w:hint="eastAsia"/>
        </w:rPr>
        <w:t>2</w:t>
      </w:r>
      <w:r w:rsidRPr="0098507B">
        <w:rPr>
          <w:rFonts w:ascii="仿宋" w:eastAsia="仿宋" w:hAnsi="仿宋" w:cs="仿宋" w:hint="eastAsia"/>
        </w:rPr>
        <w:t>年</w:t>
      </w:r>
      <w:r>
        <w:rPr>
          <w:rFonts w:ascii="仿宋" w:eastAsia="仿宋" w:hAnsi="仿宋" w:cs="仿宋" w:hint="eastAsia"/>
        </w:rPr>
        <w:t>3</w:t>
      </w:r>
      <w:r w:rsidRPr="0098507B">
        <w:rPr>
          <w:rFonts w:ascii="仿宋" w:eastAsia="仿宋" w:hAnsi="仿宋" w:cs="仿宋" w:hint="eastAsia"/>
        </w:rPr>
        <w:t>月10日</w:t>
      </w:r>
    </w:p>
    <w:p w:rsidR="006606CF" w:rsidRDefault="006606CF" w:rsidP="006606CF">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p>
    <w:p w:rsidR="00E14B4B" w:rsidRDefault="00E14B4B" w:rsidP="00E14B4B">
      <w:pPr>
        <w:spacing w:line="560" w:lineRule="atLeast"/>
      </w:pPr>
    </w:p>
    <w:p w:rsidR="00C06C42" w:rsidRDefault="00C06C42"/>
    <w:sectPr w:rsidR="00C06C42" w:rsidSect="00C06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A54" w:rsidRDefault="005E1A54" w:rsidP="008C7F4E">
      <w:r>
        <w:separator/>
      </w:r>
    </w:p>
  </w:endnote>
  <w:endnote w:type="continuationSeparator" w:id="1">
    <w:p w:rsidR="005E1A54" w:rsidRDefault="005E1A54" w:rsidP="008C7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A54" w:rsidRDefault="005E1A54" w:rsidP="008C7F4E">
      <w:r>
        <w:separator/>
      </w:r>
    </w:p>
  </w:footnote>
  <w:footnote w:type="continuationSeparator" w:id="1">
    <w:p w:rsidR="005E1A54" w:rsidRDefault="005E1A54" w:rsidP="008C7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4B28F5"/>
    <w:multiLevelType w:val="singleLevel"/>
    <w:tmpl w:val="A24B28F5"/>
    <w:lvl w:ilvl="0">
      <w:start w:val="3"/>
      <w:numFmt w:val="chineseCounting"/>
      <w:suff w:val="nothing"/>
      <w:lvlText w:val="%1、"/>
      <w:lvlJc w:val="left"/>
      <w:rPr>
        <w:rFonts w:hint="eastAsia"/>
      </w:rPr>
    </w:lvl>
  </w:abstractNum>
  <w:abstractNum w:abstractNumId="1">
    <w:nsid w:val="348C200E"/>
    <w:multiLevelType w:val="multilevel"/>
    <w:tmpl w:val="348C20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1C5C27"/>
    <w:multiLevelType w:val="hybridMultilevel"/>
    <w:tmpl w:val="0794F252"/>
    <w:lvl w:ilvl="0" w:tplc="7EA0590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0553B1"/>
    <w:multiLevelType w:val="hybridMultilevel"/>
    <w:tmpl w:val="51FE12E8"/>
    <w:lvl w:ilvl="0" w:tplc="520607C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5C030F"/>
    <w:multiLevelType w:val="hybridMultilevel"/>
    <w:tmpl w:val="9244C3A0"/>
    <w:lvl w:ilvl="0" w:tplc="6E66B894">
      <w:start w:val="3"/>
      <w:numFmt w:val="decimal"/>
      <w:lvlText w:val="%1、"/>
      <w:lvlJc w:val="left"/>
      <w:pPr>
        <w:ind w:left="1590" w:hanging="72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5">
    <w:nsid w:val="70C46448"/>
    <w:multiLevelType w:val="hybridMultilevel"/>
    <w:tmpl w:val="6BB683A4"/>
    <w:lvl w:ilvl="0" w:tplc="3F062F2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B4B"/>
    <w:rsid w:val="00010CE4"/>
    <w:rsid w:val="00115FAF"/>
    <w:rsid w:val="00157DF5"/>
    <w:rsid w:val="001B018D"/>
    <w:rsid w:val="001C2D7B"/>
    <w:rsid w:val="001C7A11"/>
    <w:rsid w:val="00200BAF"/>
    <w:rsid w:val="002668CC"/>
    <w:rsid w:val="002A0962"/>
    <w:rsid w:val="002E0F78"/>
    <w:rsid w:val="002F7F36"/>
    <w:rsid w:val="00347ABB"/>
    <w:rsid w:val="00375CE6"/>
    <w:rsid w:val="003C081A"/>
    <w:rsid w:val="003C66E6"/>
    <w:rsid w:val="003D21EF"/>
    <w:rsid w:val="003D6A42"/>
    <w:rsid w:val="004C141B"/>
    <w:rsid w:val="00531062"/>
    <w:rsid w:val="005D4D40"/>
    <w:rsid w:val="005E1A54"/>
    <w:rsid w:val="00606FCA"/>
    <w:rsid w:val="006606CF"/>
    <w:rsid w:val="006D46EB"/>
    <w:rsid w:val="006F07FF"/>
    <w:rsid w:val="00721164"/>
    <w:rsid w:val="00757723"/>
    <w:rsid w:val="007A7058"/>
    <w:rsid w:val="007B2F37"/>
    <w:rsid w:val="00821AB6"/>
    <w:rsid w:val="00825DF7"/>
    <w:rsid w:val="00827806"/>
    <w:rsid w:val="00863DBA"/>
    <w:rsid w:val="00874E6D"/>
    <w:rsid w:val="00877610"/>
    <w:rsid w:val="008C7F4E"/>
    <w:rsid w:val="009365E8"/>
    <w:rsid w:val="0093709D"/>
    <w:rsid w:val="0095420C"/>
    <w:rsid w:val="00967CA5"/>
    <w:rsid w:val="00B12452"/>
    <w:rsid w:val="00B555CD"/>
    <w:rsid w:val="00BA5F2A"/>
    <w:rsid w:val="00C06C42"/>
    <w:rsid w:val="00C43C04"/>
    <w:rsid w:val="00CB593E"/>
    <w:rsid w:val="00CD3DB6"/>
    <w:rsid w:val="00CE62C8"/>
    <w:rsid w:val="00CE721E"/>
    <w:rsid w:val="00D70CD1"/>
    <w:rsid w:val="00D9287C"/>
    <w:rsid w:val="00D95F07"/>
    <w:rsid w:val="00E14B4B"/>
    <w:rsid w:val="00E629F6"/>
    <w:rsid w:val="00EF4192"/>
    <w:rsid w:val="00F435CF"/>
    <w:rsid w:val="00F6242A"/>
    <w:rsid w:val="00F77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4B"/>
    <w:pPr>
      <w:widowControl w:val="0"/>
      <w:jc w:val="both"/>
    </w:pPr>
    <w:rPr>
      <w:rFonts w:ascii="Calibri" w:eastAsia="仿宋_GB2312" w:hAnsi="Calibri"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F4E"/>
    <w:rPr>
      <w:rFonts w:ascii="Calibri" w:eastAsia="仿宋_GB2312" w:hAnsi="Calibri" w:cs="Arial"/>
      <w:sz w:val="18"/>
      <w:szCs w:val="18"/>
    </w:rPr>
  </w:style>
  <w:style w:type="paragraph" w:styleId="a4">
    <w:name w:val="footer"/>
    <w:basedOn w:val="a"/>
    <w:link w:val="Char0"/>
    <w:uiPriority w:val="99"/>
    <w:semiHidden/>
    <w:unhideWhenUsed/>
    <w:rsid w:val="008C7F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F4E"/>
    <w:rPr>
      <w:rFonts w:ascii="Calibri" w:eastAsia="仿宋_GB2312" w:hAnsi="Calibri" w:cs="Arial"/>
      <w:sz w:val="18"/>
      <w:szCs w:val="18"/>
    </w:rPr>
  </w:style>
  <w:style w:type="paragraph" w:customStyle="1" w:styleId="Default">
    <w:name w:val="Default"/>
    <w:qFormat/>
    <w:rsid w:val="00B12452"/>
    <w:pPr>
      <w:widowControl w:val="0"/>
      <w:autoSpaceDE w:val="0"/>
      <w:autoSpaceDN w:val="0"/>
      <w:adjustRightInd w:val="0"/>
    </w:pPr>
    <w:rPr>
      <w:rFonts w:ascii="黑体" w:eastAsia="黑体" w:hAnsi="Calibri" w:cs="黑体"/>
      <w:color w:val="000000"/>
      <w:kern w:val="0"/>
      <w:sz w:val="24"/>
      <w:szCs w:val="24"/>
    </w:rPr>
  </w:style>
  <w:style w:type="paragraph" w:styleId="a5">
    <w:name w:val="Normal (Web)"/>
    <w:basedOn w:val="a"/>
    <w:uiPriority w:val="99"/>
    <w:unhideWhenUsed/>
    <w:qFormat/>
    <w:rsid w:val="006D46EB"/>
    <w:pPr>
      <w:spacing w:before="100" w:beforeAutospacing="1" w:after="100" w:afterAutospacing="1"/>
      <w:jc w:val="left"/>
    </w:pPr>
    <w:rPr>
      <w:rFonts w:eastAsia="宋体" w:cs="宋体"/>
      <w:kern w:val="0"/>
      <w:sz w:val="24"/>
      <w:szCs w:val="24"/>
    </w:rPr>
  </w:style>
  <w:style w:type="paragraph" w:styleId="a6">
    <w:name w:val="List Paragraph"/>
    <w:basedOn w:val="a"/>
    <w:uiPriority w:val="34"/>
    <w:qFormat/>
    <w:rsid w:val="006D46EB"/>
    <w:pPr>
      <w:ind w:firstLineChars="200" w:firstLine="420"/>
    </w:pPr>
  </w:style>
</w:styles>
</file>

<file path=word/webSettings.xml><?xml version="1.0" encoding="utf-8"?>
<w:webSettings xmlns:r="http://schemas.openxmlformats.org/officeDocument/2006/relationships" xmlns:w="http://schemas.openxmlformats.org/wordprocessingml/2006/main">
  <w:divs>
    <w:div w:id="7737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11</Pages>
  <Words>895</Words>
  <Characters>5104</Characters>
  <Application>Microsoft Office Word</Application>
  <DocSecurity>0</DocSecurity>
  <Lines>42</Lines>
  <Paragraphs>11</Paragraphs>
  <ScaleCrop>false</ScaleCrop>
  <Company>Windows 10</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41</cp:revision>
  <dcterms:created xsi:type="dcterms:W3CDTF">2022-05-10T01:23:00Z</dcterms:created>
  <dcterms:modified xsi:type="dcterms:W3CDTF">2022-05-13T01:02:00Z</dcterms:modified>
</cp:coreProperties>
</file>