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1</w:t>
      </w:r>
    </w:p>
    <w:p>
      <w:pPr>
        <w:spacing w:line="560" w:lineRule="exact"/>
        <w:jc w:val="center"/>
        <w:rPr>
          <w:rFonts w:ascii="仿宋" w:hAnsi="仿宋" w:eastAsia="仿宋"/>
          <w:sz w:val="24"/>
        </w:rPr>
      </w:pPr>
      <w:r>
        <w:rPr>
          <w:rFonts w:ascii="仿宋" w:hAnsi="仿宋" w:eastAsia="仿宋"/>
          <w:sz w:val="36"/>
          <w:szCs w:val="36"/>
        </w:rPr>
        <w:t>部门整体支出绩效评价指标表</w:t>
      </w:r>
    </w:p>
    <w:tbl>
      <w:tblPr>
        <w:tblStyle w:val="6"/>
        <w:tblW w:w="10600" w:type="dxa"/>
        <w:jc w:val="center"/>
        <w:tblLayout w:type="autofit"/>
        <w:tblCellMar>
          <w:top w:w="0" w:type="dxa"/>
          <w:left w:w="10" w:type="dxa"/>
          <w:bottom w:w="0" w:type="dxa"/>
          <w:right w:w="10" w:type="dxa"/>
        </w:tblCellMar>
      </w:tblPr>
      <w:tblGrid>
        <w:gridCol w:w="518"/>
        <w:gridCol w:w="416"/>
        <w:gridCol w:w="677"/>
        <w:gridCol w:w="416"/>
        <w:gridCol w:w="1014"/>
        <w:gridCol w:w="416"/>
        <w:gridCol w:w="3016"/>
        <w:gridCol w:w="3490"/>
        <w:gridCol w:w="637"/>
      </w:tblGrid>
      <w:tr>
        <w:tblPrEx>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一级指标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6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二级指标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三级</w:t>
            </w:r>
          </w:p>
          <w:p>
            <w:pPr>
              <w:widowControl/>
              <w:jc w:val="center"/>
              <w:rPr>
                <w:rFonts w:ascii="仿宋" w:hAnsi="仿宋" w:eastAsia="仿宋"/>
                <w:sz w:val="20"/>
                <w:szCs w:val="20"/>
              </w:rPr>
            </w:pPr>
            <w:r>
              <w:rPr>
                <w:rFonts w:ascii="仿宋" w:hAnsi="仿宋" w:eastAsia="仿宋"/>
                <w:sz w:val="20"/>
                <w:szCs w:val="20"/>
              </w:rPr>
              <w:t>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评价标准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指标说明</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得分</w:t>
            </w:r>
          </w:p>
        </w:tc>
      </w:tr>
      <w:tr>
        <w:tblPrEx>
          <w:tblCellMar>
            <w:top w:w="0" w:type="dxa"/>
            <w:left w:w="10" w:type="dxa"/>
            <w:bottom w:w="0" w:type="dxa"/>
            <w:right w:w="10" w:type="dxa"/>
          </w:tblCellMar>
        </w:tblPrEx>
        <w:trPr>
          <w:trHeight w:val="1814"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投入</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预算配置</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以100%为标准。在职人员控制率≦100%，计5分；每超过一个百分点扣0.5分，扣完为止。</w:t>
            </w:r>
          </w:p>
        </w:tc>
        <w:tc>
          <w:tcPr>
            <w:tcW w:w="349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在职人员控制率=（在职人员数/编制数）×100%，在职人员数：部门（单位）实际在职人数，以财政确定的部门决算编制口径为准。</w:t>
            </w:r>
          </w:p>
          <w:p>
            <w:pPr>
              <w:widowControl/>
              <w:jc w:val="left"/>
              <w:rPr>
                <w:rFonts w:ascii="仿宋" w:hAnsi="仿宋" w:eastAsia="仿宋"/>
                <w:sz w:val="20"/>
                <w:szCs w:val="20"/>
              </w:rPr>
            </w:pPr>
            <w:r>
              <w:rPr>
                <w:rFonts w:ascii="仿宋" w:hAnsi="仿宋" w:eastAsia="仿宋"/>
                <w:sz w:val="20"/>
                <w:szCs w:val="20"/>
              </w:rPr>
              <w:t>编制数：机构编制部门核定批复的部门（单位）的人员编制数。</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4</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“三公经费”变动率≦0,计</w:t>
            </w:r>
            <w:r>
              <w:rPr>
                <w:rFonts w:hint="eastAsia" w:ascii="仿宋" w:hAnsi="仿宋" w:eastAsia="仿宋"/>
                <w:sz w:val="20"/>
                <w:szCs w:val="20"/>
              </w:rPr>
              <w:t>5</w:t>
            </w:r>
            <w:r>
              <w:rPr>
                <w:rFonts w:ascii="仿宋" w:hAnsi="仿宋" w:eastAsia="仿宋"/>
                <w:sz w:val="20"/>
                <w:szCs w:val="20"/>
              </w:rPr>
              <w:t>分；“三公经费”＞0，每超过一个百分点扣0.</w:t>
            </w:r>
            <w:r>
              <w:rPr>
                <w:rFonts w:hint="eastAsia" w:ascii="仿宋" w:hAnsi="仿宋" w:eastAsia="仿宋"/>
                <w:sz w:val="20"/>
                <w:szCs w:val="20"/>
              </w:rPr>
              <w:t>5</w:t>
            </w:r>
            <w:r>
              <w:rPr>
                <w:rFonts w:ascii="仿宋" w:hAnsi="仿宋" w:eastAsia="仿宋"/>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“三公经费”变动率=[（本年度“三公经费”预算数-上年度“三公经费”预算数）/上年度“三公经费”预算数]×100%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过                                                                                                                                       程</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60</w:t>
            </w: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预算执行</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20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100%计满分，每低于</w:t>
            </w:r>
            <w:r>
              <w:rPr>
                <w:rFonts w:hint="eastAsia" w:ascii="仿宋" w:hAnsi="仿宋" w:eastAsia="仿宋"/>
                <w:sz w:val="20"/>
                <w:szCs w:val="20"/>
              </w:rPr>
              <w:t>5个百分点</w:t>
            </w:r>
            <w:r>
              <w:rPr>
                <w:rFonts w:ascii="仿宋" w:hAnsi="仿宋" w:eastAsia="仿宋"/>
                <w:sz w:val="20"/>
                <w:szCs w:val="20"/>
              </w:rPr>
              <w:t>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预算完成率=（上年结转+年初预算+本年追加预算-年末结余）/（上年结转+年初预算+本年追加预算）×100%。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预算控制率=0，计5分；0-10%（含），计4分；10-20%（含），计3分；20-30%（含），计2分；大于30%不得分。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预算控制率=（本年追加预算/年初预算）×100%。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left="239" w:leftChars="114" w:firstLine="0" w:firstLineChars="0"/>
              <w:jc w:val="left"/>
              <w:rPr>
                <w:rFonts w:hint="default" w:ascii="仿宋" w:hAnsi="仿宋" w:eastAsia="仿宋"/>
                <w:sz w:val="24"/>
                <w:lang w:val="en-US" w:eastAsia="zh-CN"/>
              </w:rPr>
            </w:pPr>
            <w:r>
              <w:rPr>
                <w:rFonts w:hint="eastAsia" w:ascii="仿宋" w:hAnsi="仿宋" w:eastAsia="仿宋"/>
                <w:sz w:val="24"/>
                <w:lang w:val="en-US" w:eastAsia="zh-CN"/>
              </w:rPr>
              <w:t xml:space="preserve"> 5</w:t>
            </w:r>
          </w:p>
        </w:tc>
      </w:tr>
      <w:tr>
        <w:tblPrEx>
          <w:tblCellMar>
            <w:top w:w="0" w:type="dxa"/>
            <w:left w:w="10" w:type="dxa"/>
            <w:bottom w:w="0" w:type="dxa"/>
            <w:right w:w="10" w:type="dxa"/>
          </w:tblCellMar>
        </w:tblPrEx>
        <w:trPr>
          <w:trHeight w:val="1325"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新建楼堂馆所面积控制率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100%以下（含）计满分，每超出5%扣2分，扣完为止。没有楼堂馆所项目的部门按满分计算。</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楼堂馆所面积控制率=实际建设面积/批准建设面积×100% 。</w:t>
            </w:r>
          </w:p>
          <w:p>
            <w:pPr>
              <w:widowControl/>
              <w:jc w:val="left"/>
              <w:rPr>
                <w:rFonts w:ascii="仿宋" w:hAnsi="仿宋" w:eastAsia="仿宋"/>
                <w:sz w:val="20"/>
                <w:szCs w:val="20"/>
              </w:rPr>
            </w:pP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w:t>
            </w:r>
          </w:p>
        </w:tc>
      </w:tr>
      <w:tr>
        <w:tblPrEx>
          <w:tblCellMar>
            <w:top w:w="0" w:type="dxa"/>
            <w:left w:w="10" w:type="dxa"/>
            <w:bottom w:w="0" w:type="dxa"/>
            <w:right w:w="10" w:type="dxa"/>
          </w:tblCellMar>
        </w:tblPrEx>
        <w:trPr>
          <w:trHeight w:val="154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新建楼堂馆所投资概算控制率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楼堂馆所投资预算控制率=实际投资金额/批准投资金额×100% 。</w:t>
            </w:r>
          </w:p>
          <w:p>
            <w:pPr>
              <w:widowControl/>
              <w:jc w:val="left"/>
              <w:rPr>
                <w:rFonts w:ascii="仿宋" w:hAnsi="仿宋" w:eastAsia="仿宋"/>
                <w:sz w:val="20"/>
                <w:szCs w:val="20"/>
              </w:rPr>
            </w:pP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ascii="仿宋" w:hAnsi="仿宋" w:eastAsia="仿宋"/>
                <w:sz w:val="24"/>
              </w:rPr>
            </w:pPr>
            <w:r>
              <w:rPr>
                <w:rFonts w:hint="eastAsia" w:ascii="仿宋" w:hAnsi="仿宋" w:eastAsia="仿宋"/>
                <w:sz w:val="24"/>
              </w:rPr>
              <w:t>5</w:t>
            </w:r>
          </w:p>
        </w:tc>
      </w:tr>
      <w:tr>
        <w:tblPrEx>
          <w:tblCellMar>
            <w:top w:w="0" w:type="dxa"/>
            <w:left w:w="10" w:type="dxa"/>
            <w:bottom w:w="0" w:type="dxa"/>
            <w:right w:w="10" w:type="dxa"/>
          </w:tblCellMar>
        </w:tblPrEx>
        <w:trPr>
          <w:trHeight w:val="1562"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预算管理</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40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公用经费控制率=（实际支出公用经费总额/预算安排公用经费总额）×100%。</w:t>
            </w:r>
          </w:p>
          <w:p>
            <w:pPr>
              <w:widowControl/>
              <w:jc w:val="left"/>
              <w:rPr>
                <w:rFonts w:ascii="仿宋" w:hAnsi="仿宋" w:eastAsia="仿宋"/>
                <w:sz w:val="20"/>
                <w:szCs w:val="20"/>
              </w:rPr>
            </w:pPr>
            <w:r>
              <w:rPr>
                <w:rFonts w:ascii="仿宋" w:hAnsi="仿宋" w:eastAsia="仿宋"/>
                <w:sz w:val="20"/>
                <w:szCs w:val="20"/>
              </w:rPr>
              <w:t>公用经费支出是指部门基本支出中的一般商品和服务支出。</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7</w:t>
            </w:r>
          </w:p>
        </w:tc>
      </w:tr>
      <w:tr>
        <w:tblPrEx>
          <w:tblCellMar>
            <w:top w:w="0" w:type="dxa"/>
            <w:left w:w="10" w:type="dxa"/>
            <w:bottom w:w="0" w:type="dxa"/>
            <w:right w:w="10" w:type="dxa"/>
          </w:tblCellMar>
        </w:tblPrEx>
        <w:trPr>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7</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“三公经费”控制率-（“三公经费”实际支出数/“三公经费”预算安排数）×100%。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7</w:t>
            </w:r>
          </w:p>
        </w:tc>
      </w:tr>
      <w:tr>
        <w:tblPrEx>
          <w:tblCellMar>
            <w:top w:w="0" w:type="dxa"/>
            <w:left w:w="10" w:type="dxa"/>
            <w:bottom w:w="0" w:type="dxa"/>
            <w:right w:w="10" w:type="dxa"/>
          </w:tblCellMar>
        </w:tblPrEx>
        <w:trPr>
          <w:trHeight w:val="918"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100%计满分，每超过（降低）5%扣2分。扣完为止。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政府采购执行率=（实际政府采购金额/政府采购预算数）×100%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hint="eastAsia" w:ascii="仿宋" w:hAnsi="仿宋" w:eastAsia="仿宋"/>
                <w:sz w:val="24"/>
                <w:lang w:val="en-US" w:eastAsia="zh-CN"/>
              </w:rPr>
              <w:t xml:space="preserve">  6</w:t>
            </w:r>
          </w:p>
        </w:tc>
      </w:tr>
      <w:tr>
        <w:tblPrEx>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sz w:val="20"/>
                <w:szCs w:val="20"/>
              </w:rPr>
            </w:pPr>
            <w:r>
              <w:rPr>
                <w:rFonts w:ascii="仿宋" w:hAnsi="仿宋" w:eastAsia="仿宋"/>
                <w:sz w:val="20"/>
                <w:szCs w:val="20"/>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sz w:val="20"/>
                <w:szCs w:val="20"/>
              </w:rPr>
            </w:pP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预算管理</w:t>
            </w: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管理制度健全性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①有内部财务管理制度、会计核算制度等管理制度，2分；</w:t>
            </w:r>
          </w:p>
          <w:p>
            <w:pPr>
              <w:widowControl/>
              <w:jc w:val="left"/>
              <w:rPr>
                <w:rFonts w:hint="eastAsia" w:ascii="仿宋" w:hAnsi="仿宋" w:eastAsia="仿宋"/>
                <w:sz w:val="20"/>
                <w:szCs w:val="20"/>
                <w:lang w:eastAsia="zh-CN"/>
              </w:rPr>
            </w:pPr>
            <w:r>
              <w:rPr>
                <w:rFonts w:ascii="仿宋" w:hAnsi="仿宋" w:eastAsia="仿宋"/>
                <w:sz w:val="20"/>
                <w:szCs w:val="20"/>
              </w:rPr>
              <w:t>②有本部门厉行节约制度,2分；</w:t>
            </w:r>
          </w:p>
          <w:p>
            <w:pPr>
              <w:widowControl/>
              <w:jc w:val="left"/>
              <w:rPr>
                <w:rFonts w:ascii="仿宋" w:hAnsi="仿宋" w:eastAsia="仿宋"/>
                <w:sz w:val="20"/>
                <w:szCs w:val="20"/>
              </w:rPr>
            </w:pPr>
            <w:r>
              <w:rPr>
                <w:rFonts w:ascii="仿宋" w:hAnsi="仿宋" w:eastAsia="仿宋"/>
                <w:sz w:val="20"/>
                <w:szCs w:val="20"/>
              </w:rPr>
              <w:t>③相关管理制度合法、合规、完整，2分；④相关管理制度得到有效执行，2分。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hint="eastAsia" w:ascii="仿宋" w:hAnsi="仿宋" w:eastAsia="仿宋"/>
                <w:sz w:val="24"/>
                <w:lang w:val="en-US" w:eastAsia="zh-CN"/>
              </w:rPr>
              <w:t xml:space="preserve">  7</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资金使用合规性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jc w:val="left"/>
              <w:rPr>
                <w:rFonts w:ascii="仿宋" w:hAnsi="仿宋" w:eastAsia="仿宋"/>
                <w:sz w:val="20"/>
                <w:szCs w:val="20"/>
              </w:rPr>
            </w:pPr>
            <w:r>
              <w:rPr>
                <w:rFonts w:ascii="仿宋" w:hAnsi="仿宋" w:eastAsia="仿宋"/>
                <w:sz w:val="20"/>
                <w:szCs w:val="20"/>
              </w:rPr>
              <w:t>以上情况每出现一例不符合要求的扣1分，扣完为止。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6</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预决算信息公开性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预决算信息是指与部门预算、执行、决算、监督、绩效等管理相关的信息。</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产出及效率</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30</w:t>
            </w:r>
          </w:p>
        </w:tc>
        <w:tc>
          <w:tcPr>
            <w:tcW w:w="6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职责履行</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1014"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重点工作实际完成率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根据绩效办201</w:t>
            </w:r>
            <w:r>
              <w:rPr>
                <w:rFonts w:hint="eastAsia" w:ascii="仿宋" w:hAnsi="仿宋" w:eastAsia="仿宋"/>
                <w:sz w:val="20"/>
                <w:szCs w:val="20"/>
              </w:rPr>
              <w:t>8</w:t>
            </w:r>
            <w:r>
              <w:rPr>
                <w:rFonts w:ascii="仿宋" w:hAnsi="仿宋" w:eastAsia="仿宋"/>
                <w:sz w:val="20"/>
                <w:szCs w:val="20"/>
              </w:rPr>
              <w:t>年对各部门为民办实事和部门重点工程与重点工作考核分数折算。</w:t>
            </w:r>
          </w:p>
          <w:p>
            <w:pPr>
              <w:widowControl/>
              <w:jc w:val="left"/>
              <w:rPr>
                <w:rFonts w:ascii="仿宋" w:hAnsi="仿宋" w:eastAsia="仿宋"/>
                <w:sz w:val="20"/>
                <w:szCs w:val="20"/>
              </w:rPr>
            </w:pPr>
            <w:r>
              <w:rPr>
                <w:rFonts w:ascii="仿宋" w:hAnsi="仿宋" w:eastAsia="仿宋"/>
                <w:sz w:val="20"/>
                <w:szCs w:val="20"/>
              </w:rPr>
              <w:t>该项得分=（绩效办对应部分考核得分/</w:t>
            </w:r>
            <w:r>
              <w:rPr>
                <w:rFonts w:hint="eastAsia" w:ascii="仿宋" w:hAnsi="仿宋" w:eastAsia="仿宋"/>
                <w:sz w:val="20"/>
                <w:szCs w:val="20"/>
              </w:rPr>
              <w:t>100</w:t>
            </w:r>
            <w:r>
              <w:rPr>
                <w:rFonts w:ascii="仿宋" w:hAnsi="仿宋" w:eastAsia="仿宋"/>
                <w:sz w:val="20"/>
                <w:szCs w:val="20"/>
              </w:rPr>
              <w:t>）*8</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w:t>
            </w:r>
            <w:r>
              <w:rPr>
                <w:rFonts w:hint="eastAsia" w:ascii="仿宋" w:hAnsi="仿宋" w:eastAsia="仿宋"/>
                <w:sz w:val="24"/>
                <w:lang w:val="en-US" w:eastAsia="zh-CN"/>
              </w:rPr>
              <w:t>8</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履职 效益</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经济效益</w:t>
            </w:r>
          </w:p>
        </w:tc>
        <w:tc>
          <w:tcPr>
            <w:tcW w:w="416"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506" w:type="dxa"/>
            <w:gridSpan w:val="2"/>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hint="eastAsia" w:ascii="仿宋" w:hAnsi="仿宋" w:eastAsia="仿宋"/>
                <w:sz w:val="24"/>
                <w:lang w:val="en-US" w:eastAsia="zh-CN"/>
              </w:rPr>
              <w:t xml:space="preserve">  9</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社会效益</w:t>
            </w:r>
          </w:p>
        </w:tc>
        <w:tc>
          <w:tcPr>
            <w:tcW w:w="416"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pPr>
              <w:rPr>
                <w:rFonts w:ascii="仿宋" w:hAnsi="仿宋" w:eastAsia="仿宋"/>
              </w:rPr>
            </w:pPr>
          </w:p>
        </w:tc>
        <w:tc>
          <w:tcPr>
            <w:tcW w:w="6506" w:type="dxa"/>
            <w:gridSpan w:val="2"/>
            <w:vMerge w:val="continue"/>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仿宋" w:hAnsi="仿宋" w:eastAsia="仿宋"/>
              </w:rPr>
            </w:pP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12</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行政效能</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根据部门自评材料评定。</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r>
              <w:rPr>
                <w:rFonts w:hint="eastAsia" w:ascii="仿宋" w:hAnsi="仿宋" w:eastAsia="仿宋"/>
                <w:sz w:val="24"/>
              </w:rPr>
              <w:t>5</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社会公众或服务对象满意度</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0"/>
                <w:szCs w:val="20"/>
                <w:lang w:eastAsia="zh-CN"/>
              </w:rPr>
            </w:pPr>
            <w:r>
              <w:rPr>
                <w:rFonts w:ascii="仿宋" w:hAnsi="仿宋" w:eastAsia="仿宋"/>
                <w:sz w:val="20"/>
                <w:szCs w:val="20"/>
              </w:rPr>
              <w:t>90%（含）以上计6分；</w:t>
            </w:r>
          </w:p>
          <w:p>
            <w:pPr>
              <w:widowControl/>
              <w:jc w:val="left"/>
              <w:rPr>
                <w:rFonts w:hint="eastAsia" w:ascii="仿宋" w:hAnsi="仿宋" w:eastAsia="仿宋"/>
                <w:sz w:val="20"/>
                <w:szCs w:val="20"/>
                <w:lang w:eastAsia="zh-CN"/>
              </w:rPr>
            </w:pPr>
            <w:r>
              <w:rPr>
                <w:rFonts w:ascii="仿宋" w:hAnsi="仿宋" w:eastAsia="仿宋"/>
                <w:sz w:val="20"/>
                <w:szCs w:val="20"/>
              </w:rPr>
              <w:t>80%（含）-90%，计4分；</w:t>
            </w:r>
          </w:p>
          <w:p>
            <w:pPr>
              <w:widowControl/>
              <w:jc w:val="left"/>
              <w:rPr>
                <w:rFonts w:hint="eastAsia" w:ascii="仿宋" w:hAnsi="仿宋" w:eastAsia="仿宋"/>
                <w:sz w:val="20"/>
                <w:szCs w:val="20"/>
                <w:lang w:eastAsia="zh-CN"/>
              </w:rPr>
            </w:pPr>
            <w:r>
              <w:rPr>
                <w:rFonts w:ascii="仿宋" w:hAnsi="仿宋" w:eastAsia="仿宋"/>
                <w:sz w:val="20"/>
                <w:szCs w:val="20"/>
              </w:rPr>
              <w:t>70%（含）-80%，计2分；</w:t>
            </w:r>
          </w:p>
          <w:p>
            <w:pPr>
              <w:widowControl/>
              <w:jc w:val="left"/>
              <w:rPr>
                <w:rFonts w:ascii="仿宋" w:hAnsi="仿宋" w:eastAsia="仿宋"/>
                <w:sz w:val="20"/>
                <w:szCs w:val="20"/>
              </w:rPr>
            </w:pPr>
            <w:r>
              <w:rPr>
                <w:rFonts w:ascii="仿宋" w:hAnsi="仿宋" w:eastAsia="仿宋"/>
                <w:sz w:val="20"/>
                <w:szCs w:val="20"/>
              </w:rPr>
              <w:t>低于70%计0分。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社会公众或服务对象是指部门（单位）履行职责而影响到的部门、群体或个人，一般采取社会调查的方式。</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hint="eastAsia" w:ascii="仿宋" w:hAnsi="仿宋" w:eastAsia="仿宋"/>
                <w:sz w:val="24"/>
                <w:lang w:eastAsia="zh-CN"/>
              </w:rPr>
            </w:pPr>
            <w:r>
              <w:rPr>
                <w:rFonts w:hint="eastAsia" w:ascii="仿宋" w:hAnsi="仿宋" w:eastAsia="仿宋"/>
                <w:sz w:val="24"/>
                <w:lang w:val="en-US" w:eastAsia="zh-CN"/>
              </w:rPr>
              <w:t>6</w:t>
            </w:r>
          </w:p>
        </w:tc>
      </w:tr>
    </w:tbl>
    <w:p>
      <w:pPr>
        <w:spacing w:line="560" w:lineRule="exact"/>
        <w:rPr>
          <w:rFonts w:ascii="仿宋" w:hAnsi="仿宋" w:eastAsia="仿宋"/>
          <w:sz w:val="28"/>
          <w:szCs w:val="28"/>
        </w:rPr>
      </w:pPr>
      <w:r>
        <w:rPr>
          <w:rFonts w:ascii="仿宋" w:hAnsi="仿宋" w:eastAsia="仿宋"/>
        </w:rPr>
        <w:br w:type="page"/>
      </w:r>
      <w:r>
        <w:rPr>
          <w:rFonts w:ascii="仿宋" w:hAnsi="仿宋" w:eastAsia="仿宋"/>
          <w:sz w:val="32"/>
          <w:szCs w:val="32"/>
        </w:rPr>
        <w:t>附件</w:t>
      </w:r>
      <w:r>
        <w:rPr>
          <w:rFonts w:hint="eastAsia" w:ascii="仿宋" w:hAnsi="仿宋" w:eastAsia="仿宋"/>
          <w:sz w:val="32"/>
          <w:szCs w:val="32"/>
        </w:rPr>
        <w:t>2</w:t>
      </w:r>
    </w:p>
    <w:p>
      <w:pPr>
        <w:spacing w:line="560" w:lineRule="exact"/>
        <w:jc w:val="center"/>
        <w:rPr>
          <w:rFonts w:ascii="仿宋" w:hAnsi="仿宋" w:eastAsia="仿宋"/>
          <w:sz w:val="36"/>
          <w:szCs w:val="36"/>
        </w:rPr>
      </w:pPr>
      <w:r>
        <w:rPr>
          <w:rFonts w:ascii="仿宋" w:hAns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hAnsi="仿宋" w:eastAsia="仿宋"/>
          <w:sz w:val="24"/>
        </w:rPr>
      </w:pPr>
      <w:r>
        <w:rPr>
          <w:rFonts w:ascii="仿宋" w:hAnsi="仿宋" w:eastAsia="仿宋"/>
          <w:sz w:val="24"/>
        </w:rPr>
        <w:t>填报单位：</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p>
    <w:tbl>
      <w:tblPr>
        <w:tblStyle w:val="6"/>
        <w:tblW w:w="10339" w:type="dxa"/>
        <w:jc w:val="center"/>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财政供养人员情况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编制数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20</w:t>
            </w:r>
            <w:r>
              <w:rPr>
                <w:rFonts w:ascii="仿宋" w:hAnsi="仿宋" w:eastAsia="仿宋"/>
                <w:b/>
                <w:bCs/>
                <w:sz w:val="24"/>
              </w:rPr>
              <w:t>年实际在职人数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b/>
                <w:bCs/>
                <w:color w:val="auto"/>
                <w:sz w:val="24"/>
                <w:lang w:val="en-US" w:eastAsia="zh-CN"/>
              </w:rPr>
            </w:pPr>
            <w:r>
              <w:rPr>
                <w:rFonts w:ascii="仿宋" w:hAnsi="仿宋" w:eastAsia="仿宋"/>
                <w:b/>
                <w:bCs/>
                <w:color w:val="auto"/>
                <w:sz w:val="24"/>
              </w:rPr>
              <w:t>　</w:t>
            </w:r>
            <w:r>
              <w:rPr>
                <w:rFonts w:hint="eastAsia" w:ascii="仿宋" w:hAnsi="仿宋" w:eastAsia="仿宋"/>
                <w:b/>
                <w:bCs/>
                <w:color w:val="auto"/>
                <w:sz w:val="24"/>
                <w:lang w:val="en-US" w:eastAsia="zh-CN"/>
              </w:rPr>
              <w:t>80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b/>
                <w:bCs/>
                <w:color w:val="auto"/>
                <w:sz w:val="24"/>
                <w:lang w:val="en-US" w:eastAsia="zh-CN"/>
              </w:rPr>
            </w:pPr>
            <w:r>
              <w:rPr>
                <w:rFonts w:ascii="仿宋" w:hAnsi="仿宋" w:eastAsia="仿宋"/>
                <w:b/>
                <w:bCs/>
                <w:color w:val="auto"/>
                <w:sz w:val="24"/>
              </w:rPr>
              <w:t>　</w:t>
            </w:r>
            <w:r>
              <w:rPr>
                <w:rFonts w:hint="eastAsia" w:ascii="仿宋" w:hAnsi="仿宋" w:eastAsia="仿宋"/>
                <w:b/>
                <w:bCs/>
                <w:color w:val="auto"/>
                <w:sz w:val="24"/>
                <w:lang w:val="en-US" w:eastAsia="zh-CN"/>
              </w:rPr>
              <w:t>80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100</w:t>
            </w:r>
            <w:bookmarkStart w:id="0" w:name="_GoBack"/>
            <w:bookmarkEnd w:id="0"/>
            <w:r>
              <w:rPr>
                <w:rFonts w:hint="eastAsia" w:ascii="仿宋" w:hAnsi="仿宋" w:eastAsia="仿宋"/>
                <w:sz w:val="24"/>
                <w:lang w:val="en-US" w:eastAsia="zh-CN"/>
              </w:rPr>
              <w:t>%</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经费控制情况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20</w:t>
            </w:r>
            <w:r>
              <w:rPr>
                <w:rFonts w:ascii="仿宋" w:hAnsi="仿宋" w:eastAsia="仿宋"/>
                <w:b/>
                <w:bCs/>
                <w:sz w:val="24"/>
              </w:rPr>
              <w:t>年决算数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21</w:t>
            </w:r>
            <w:r>
              <w:rPr>
                <w:rFonts w:ascii="仿宋" w:hAnsi="仿宋" w:eastAsia="仿宋"/>
                <w:b/>
                <w:bCs/>
                <w:sz w:val="24"/>
              </w:rPr>
              <w:t>年预算数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21</w:t>
            </w:r>
            <w:r>
              <w:rPr>
                <w:rFonts w:ascii="仿宋" w:hAnsi="仿宋" w:eastAsia="仿宋"/>
                <w:b/>
                <w:bCs/>
                <w:sz w:val="24"/>
              </w:rPr>
              <w:t>年决算数</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三公经费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5.94</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21</w:t>
            </w:r>
            <w:r>
              <w:rPr>
                <w:rFonts w:hint="eastAsia" w:ascii="仿宋" w:hAnsi="仿宋" w:eastAsia="仿宋"/>
                <w:sz w:val="24"/>
              </w:rPr>
              <w:t>.00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16</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1、公务用车购置和维护经费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w:t>
            </w: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10</w:t>
            </w:r>
            <w:r>
              <w:rPr>
                <w:rFonts w:hint="eastAsia" w:ascii="仿宋" w:hAnsi="仿宋" w:eastAsia="仿宋"/>
                <w:sz w:val="24"/>
              </w:rPr>
              <w:t>.00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8.3</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其中：公车购置</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公车运行维护</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w:t>
            </w: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10.00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8.3</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2、出国经费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3、公务接待</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5.94</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11</w:t>
            </w:r>
            <w:r>
              <w:rPr>
                <w:rFonts w:hint="eastAsia" w:ascii="仿宋" w:hAnsi="仿宋" w:eastAsia="仿宋"/>
                <w:sz w:val="24"/>
              </w:rPr>
              <w:t>.00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7.7</w:t>
            </w:r>
            <w:r>
              <w:rPr>
                <w:rFonts w:ascii="仿宋" w:hAnsi="仿宋" w:eastAsia="仿宋"/>
                <w:sz w:val="24"/>
              </w:rPr>
              <w:t>　</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项目支出：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1、业务工作专项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2、运行维护专项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534"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公用经费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111.74</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color w:val="auto"/>
                <w:sz w:val="24"/>
                <w:lang w:val="en-US" w:eastAsia="zh-CN"/>
              </w:rPr>
              <w:t>269.35</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241.45</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其中：办公经费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93.61</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49</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50.89</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水费、电费、差旅费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18.06</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30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29</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会议费、培训费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0.07</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12</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政府采购金额</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部门整体支出预算调整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1154" w:hRule="atLeast"/>
          <w:jc w:val="center"/>
        </w:trPr>
        <w:tc>
          <w:tcPr>
            <w:tcW w:w="355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eastAsia="zh-CN"/>
              </w:rPr>
            </w:pPr>
            <w:r>
              <w:rPr>
                <w:rFonts w:ascii="仿宋" w:hAnsi="仿宋" w:eastAsia="仿宋"/>
                <w:sz w:val="24"/>
              </w:rPr>
              <w:t>楼堂馆所控制情况</w:t>
            </w:r>
          </w:p>
          <w:p>
            <w:pPr>
              <w:widowControl/>
              <w:jc w:val="center"/>
              <w:rPr>
                <w:rFonts w:ascii="仿宋" w:hAnsi="仿宋" w:eastAsia="仿宋"/>
                <w:sz w:val="24"/>
              </w:rPr>
            </w:pPr>
            <w:r>
              <w:rPr>
                <w:rFonts w:ascii="仿宋" w:hAnsi="仿宋" w:eastAsia="仿宋"/>
                <w:sz w:val="24"/>
              </w:rPr>
              <w:t>（20</w:t>
            </w:r>
            <w:r>
              <w:rPr>
                <w:rFonts w:hint="eastAsia" w:ascii="仿宋" w:hAnsi="仿宋" w:eastAsia="仿宋"/>
                <w:sz w:val="24"/>
                <w:lang w:val="en-US" w:eastAsia="zh-CN"/>
              </w:rPr>
              <w:t>20</w:t>
            </w:r>
            <w:r>
              <w:rPr>
                <w:rFonts w:ascii="仿宋" w:hAnsi="仿宋" w:eastAsia="仿宋"/>
                <w:sz w:val="24"/>
              </w:rPr>
              <w:t>年完工项目）</w:t>
            </w: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b/>
                <w:bCs/>
                <w:sz w:val="24"/>
                <w:lang w:eastAsia="zh-CN"/>
              </w:rPr>
            </w:pPr>
            <w:r>
              <w:rPr>
                <w:rFonts w:ascii="仿宋" w:hAnsi="仿宋" w:eastAsia="仿宋"/>
                <w:b/>
                <w:bCs/>
                <w:sz w:val="24"/>
              </w:rPr>
              <w:t>批复规模</w:t>
            </w:r>
          </w:p>
          <w:p>
            <w:pPr>
              <w:widowControl/>
              <w:jc w:val="center"/>
              <w:rPr>
                <w:rFonts w:ascii="仿宋" w:hAnsi="仿宋" w:eastAsia="仿宋"/>
                <w:b/>
                <w:bCs/>
                <w:sz w:val="24"/>
              </w:rPr>
            </w:pPr>
            <w:r>
              <w:rPr>
                <w:rFonts w:ascii="仿宋" w:hAnsi="仿宋" w:eastAsia="仿宋"/>
                <w:b/>
                <w:bCs/>
                <w:sz w:val="24"/>
              </w:rPr>
              <w:t>（㎡）</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实际规模（㎡）</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规模控制率</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预算投资（万元）</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实际投资（万元）</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投资概算控制率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厉行节约保障措施</w:t>
            </w:r>
          </w:p>
        </w:tc>
        <w:tc>
          <w:tcPr>
            <w:tcW w:w="6789"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bl>
    <w:p>
      <w:pPr>
        <w:widowControl/>
        <w:jc w:val="left"/>
        <w:rPr>
          <w:rFonts w:ascii="仿宋" w:hAnsi="仿宋" w:eastAsia="仿宋"/>
          <w:sz w:val="22"/>
          <w:szCs w:val="22"/>
        </w:rPr>
      </w:pPr>
      <w:r>
        <w:rPr>
          <w:rFonts w:ascii="仿宋" w:hAnsi="仿宋" w:eastAsia="仿宋"/>
          <w:sz w:val="22"/>
          <w:szCs w:val="22"/>
        </w:rPr>
        <w:t>说明：“项目支出”需要填报除专项资金和基本支出以外的所有项目情况，包括业务工作项</w:t>
      </w:r>
    </w:p>
    <w:p>
      <w:pPr>
        <w:widowControl/>
        <w:ind w:firstLine="660"/>
        <w:jc w:val="left"/>
        <w:rPr>
          <w:rFonts w:ascii="仿宋" w:hAnsi="仿宋" w:eastAsia="仿宋"/>
          <w:sz w:val="22"/>
          <w:szCs w:val="22"/>
        </w:rPr>
      </w:pPr>
      <w:r>
        <w:rPr>
          <w:rFonts w:ascii="仿宋" w:hAnsi="仿宋" w:eastAsia="仿宋"/>
          <w:sz w:val="22"/>
          <w:szCs w:val="22"/>
        </w:rPr>
        <w:t>目、运行维护项目等；“公用经费”填报基本支出中的一般商品和服务支出。</w:t>
      </w:r>
    </w:p>
    <w:p>
      <w:pPr>
        <w:spacing w:line="600" w:lineRule="exact"/>
        <w:rPr>
          <w:rFonts w:ascii="仿宋" w:hAnsi="仿宋" w:eastAsia="仿宋"/>
        </w:rPr>
      </w:pPr>
    </w:p>
    <w:p>
      <w:pPr>
        <w:spacing w:line="580" w:lineRule="exact"/>
        <w:rPr>
          <w:rFonts w:ascii="仿宋" w:hAnsi="仿宋" w:eastAsia="仿宋"/>
          <w:sz w:val="32"/>
          <w:szCs w:val="32"/>
        </w:rPr>
      </w:pPr>
    </w:p>
    <w:p>
      <w:pPr>
        <w:spacing w:line="500" w:lineRule="exact"/>
        <w:rPr>
          <w:rFonts w:ascii="仿宋" w:hAnsi="仿宋" w:eastAsia="仿宋"/>
          <w:sz w:val="32"/>
          <w:szCs w:val="32"/>
        </w:rPr>
      </w:pPr>
    </w:p>
    <w:p/>
    <w:p/>
    <w:p>
      <w:pPr>
        <w:widowControl/>
        <w:ind w:left="93"/>
        <w:jc w:val="left"/>
        <w:rPr>
          <w:rFonts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6"/>
        <w:tblW w:w="10047" w:type="dxa"/>
        <w:jc w:val="center"/>
        <w:tblLayout w:type="fixed"/>
        <w:tblCellMar>
          <w:top w:w="0" w:type="dxa"/>
          <w:left w:w="10" w:type="dxa"/>
          <w:bottom w:w="0" w:type="dxa"/>
          <w:right w:w="10" w:type="dxa"/>
        </w:tblCellMar>
      </w:tblPr>
      <w:tblGrid>
        <w:gridCol w:w="740"/>
        <w:gridCol w:w="804"/>
        <w:gridCol w:w="1056"/>
        <w:gridCol w:w="2465"/>
        <w:gridCol w:w="4364"/>
        <w:gridCol w:w="618"/>
      </w:tblGrid>
      <w:tr>
        <w:tblPrEx>
          <w:tblCellMar>
            <w:top w:w="0" w:type="dxa"/>
            <w:left w:w="10" w:type="dxa"/>
            <w:bottom w:w="0" w:type="dxa"/>
            <w:right w:w="10" w:type="dxa"/>
          </w:tblCellMar>
        </w:tblPrEx>
        <w:trPr>
          <w:trHeight w:val="248" w:hRule="atLeast"/>
          <w:tblHeader/>
          <w:jc w:val="center"/>
        </w:trPr>
        <w:tc>
          <w:tcPr>
            <w:tcW w:w="740"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CellMar>
            <w:top w:w="0" w:type="dxa"/>
            <w:left w:w="10" w:type="dxa"/>
            <w:bottom w:w="0" w:type="dxa"/>
            <w:right w:w="10" w:type="dxa"/>
          </w:tblCellMar>
        </w:tblPrEx>
        <w:trPr>
          <w:trHeight w:val="380" w:hRule="atLeast"/>
          <w:tblHeader/>
          <w:jc w:val="center"/>
        </w:trPr>
        <w:tc>
          <w:tcPr>
            <w:tcW w:w="74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56"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3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3</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ind w:firstLine="240" w:firstLineChars="100"/>
              <w:rPr>
                <w:rFonts w:ascii="仿宋" w:eastAsia="仿宋"/>
                <w:sz w:val="24"/>
                <w:szCs w:val="24"/>
              </w:rPr>
            </w:pPr>
            <w:r>
              <w:rPr>
                <w:rFonts w:hint="eastAsia" w:ascii="仿宋" w:eastAsia="仿宋"/>
                <w:sz w:val="24"/>
                <w:szCs w:val="24"/>
              </w:rPr>
              <w:t>3</w:t>
            </w:r>
          </w:p>
        </w:tc>
      </w:tr>
      <w:tr>
        <w:tblPrEx>
          <w:tblCellMar>
            <w:top w:w="0" w:type="dxa"/>
            <w:left w:w="10" w:type="dxa"/>
            <w:bottom w:w="0" w:type="dxa"/>
            <w:right w:w="10" w:type="dxa"/>
          </w:tblCellMar>
        </w:tblPrEx>
        <w:trPr>
          <w:trHeight w:val="764"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trHeight w:val="254" w:hRule="atLeast"/>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4.5 </w:t>
            </w:r>
          </w:p>
        </w:tc>
      </w:tr>
      <w:tr>
        <w:tblPrEx>
          <w:tblCellMar>
            <w:top w:w="0" w:type="dxa"/>
            <w:left w:w="10" w:type="dxa"/>
            <w:bottom w:w="0" w:type="dxa"/>
            <w:right w:w="10" w:type="dxa"/>
          </w:tblCellMar>
        </w:tblPrEx>
        <w:trPr>
          <w:trHeight w:val="836"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trHeight w:val="463"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10</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8</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5</w:t>
            </w:r>
          </w:p>
        </w:tc>
      </w:tr>
      <w:tr>
        <w:tblPrEx>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 xml:space="preserve"> 8</w:t>
            </w:r>
          </w:p>
        </w:tc>
      </w:tr>
      <w:tr>
        <w:tblPrEx>
          <w:tblCellMar>
            <w:top w:w="0" w:type="dxa"/>
            <w:left w:w="10" w:type="dxa"/>
            <w:bottom w:w="0" w:type="dxa"/>
            <w:right w:w="10" w:type="dxa"/>
          </w:tblCellMar>
        </w:tblPrEx>
        <w:trPr>
          <w:trHeight w:val="707"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ind w:firstLine="240" w:firstLineChars="100"/>
              <w:jc w:val="left"/>
              <w:rPr>
                <w:rFonts w:ascii="仿宋" w:eastAsia="仿宋"/>
                <w:sz w:val="24"/>
                <w:szCs w:val="24"/>
              </w:rPr>
            </w:pPr>
            <w:r>
              <w:rPr>
                <w:rFonts w:hint="eastAsia" w:ascii="仿宋" w:eastAsia="仿宋"/>
                <w:sz w:val="24"/>
                <w:szCs w:val="24"/>
              </w:rPr>
              <w:t>5</w:t>
            </w:r>
          </w:p>
        </w:tc>
      </w:tr>
      <w:tr>
        <w:tblPrEx>
          <w:tblCellMar>
            <w:top w:w="0" w:type="dxa"/>
            <w:left w:w="10" w:type="dxa"/>
            <w:bottom w:w="0" w:type="dxa"/>
            <w:right w:w="10" w:type="dxa"/>
          </w:tblCellMar>
        </w:tblPrEx>
        <w:trPr>
          <w:trHeight w:val="641"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ind w:firstLine="240" w:firstLineChars="100"/>
              <w:jc w:val="left"/>
              <w:rPr>
                <w:rFonts w:hint="default" w:ascii="仿宋" w:eastAsia="仿宋"/>
                <w:sz w:val="24"/>
                <w:szCs w:val="24"/>
                <w:lang w:val="en-US" w:eastAsia="zh-CN"/>
              </w:rPr>
            </w:pPr>
            <w:r>
              <w:rPr>
                <w:rFonts w:hint="eastAsia" w:ascii="仿宋" w:eastAsia="仿宋"/>
                <w:sz w:val="24"/>
                <w:szCs w:val="24"/>
                <w:lang w:val="en-US" w:eastAsia="zh-CN"/>
              </w:rPr>
              <w:t>10</w:t>
            </w:r>
          </w:p>
        </w:tc>
      </w:tr>
      <w:tr>
        <w:tblPrEx>
          <w:tblCellMar>
            <w:top w:w="0" w:type="dxa"/>
            <w:left w:w="10" w:type="dxa"/>
            <w:bottom w:w="0" w:type="dxa"/>
            <w:right w:w="10" w:type="dxa"/>
          </w:tblCellMar>
        </w:tblPrEx>
        <w:trPr>
          <w:trHeight w:val="1121" w:hRule="exac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ind w:firstLine="240" w:firstLineChars="100"/>
              <w:jc w:val="left"/>
              <w:rPr>
                <w:rFonts w:ascii="仿宋" w:eastAsia="仿宋"/>
                <w:sz w:val="24"/>
                <w:szCs w:val="24"/>
              </w:rPr>
            </w:pPr>
            <w:r>
              <w:rPr>
                <w:rFonts w:hint="eastAsia" w:ascii="仿宋" w:eastAsia="仿宋"/>
                <w:sz w:val="24"/>
                <w:szCs w:val="24"/>
              </w:rPr>
              <w:t>5</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hint="eastAsia"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3</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p>
        </w:tc>
        <w:tc>
          <w:tcPr>
            <w:tcW w:w="618" w:type="dxa"/>
            <w:tcBorders>
              <w:left w:val="single" w:color="000000" w:sz="4" w:space="0"/>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default" w:eastAsia="宋体"/>
                <w:lang w:val="en-US" w:eastAsia="zh-CN"/>
              </w:rPr>
            </w:pPr>
            <w:r>
              <w:rPr>
                <w:rFonts w:hint="eastAsia"/>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default" w:eastAsia="宋体"/>
                <w:lang w:val="en-US" w:eastAsia="zh-CN"/>
              </w:rPr>
            </w:pPr>
            <w:r>
              <w:rPr>
                <w:rFonts w:hint="eastAsia"/>
                <w:lang w:val="en-US" w:eastAsia="zh-CN"/>
              </w:rPr>
              <w:t xml:space="preserve">  4</w:t>
            </w:r>
          </w:p>
        </w:tc>
      </w:tr>
      <w:tr>
        <w:tblPrEx>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 xml:space="preserve">  3</w:t>
            </w:r>
          </w:p>
        </w:tc>
      </w:tr>
    </w:tbl>
    <w:p>
      <w:pPr>
        <w:spacing w:line="560" w:lineRule="exact"/>
        <w:rPr>
          <w:rFonts w:hint="eastAsia" w:ascii="仿宋" w:hAnsi="仿宋" w:eastAsia="仿宋"/>
          <w:sz w:val="32"/>
          <w:szCs w:val="32"/>
          <w:lang w:eastAsia="zh-CN"/>
        </w:rPr>
      </w:pPr>
      <w:r>
        <w:rPr>
          <w:rFonts w:ascii="仿宋" w:hAnsi="仿宋" w:eastAsia="仿宋"/>
          <w:sz w:val="32"/>
          <w:szCs w:val="32"/>
        </w:rPr>
        <w:t>附件</w:t>
      </w:r>
      <w:r>
        <w:rPr>
          <w:rFonts w:hint="eastAsia" w:ascii="仿宋" w:hAnsi="仿宋" w:eastAsia="仿宋"/>
          <w:sz w:val="32"/>
          <w:szCs w:val="32"/>
          <w:lang w:val="en-US" w:eastAsia="zh-CN"/>
        </w:rPr>
        <w:t>4</w:t>
      </w:r>
    </w:p>
    <w:p>
      <w:pPr>
        <w:jc w:val="center"/>
        <w:rPr>
          <w:rFonts w:hint="eastAsia" w:ascii="方正小标宋简体" w:hAnsi="方正小标宋简体" w:eastAsia="方正小标宋简体" w:cs="方正小标宋简体"/>
          <w:b/>
          <w:bCs/>
          <w:sz w:val="40"/>
          <w:szCs w:val="40"/>
        </w:rPr>
      </w:pPr>
    </w:p>
    <w:p>
      <w:pPr>
        <w:jc w:val="center"/>
        <w:rPr>
          <w:rFonts w:hint="eastAsia" w:ascii="仿宋" w:hAnsi="仿宋" w:eastAsia="仿宋" w:cs="仿宋"/>
          <w:b/>
          <w:bCs/>
          <w:sz w:val="40"/>
          <w:szCs w:val="40"/>
        </w:rPr>
      </w:pPr>
      <w:r>
        <w:rPr>
          <w:rFonts w:hint="eastAsia" w:ascii="仿宋" w:hAnsi="仿宋" w:eastAsia="仿宋" w:cs="仿宋"/>
          <w:b/>
          <w:bCs/>
          <w:sz w:val="40"/>
          <w:szCs w:val="40"/>
        </w:rPr>
        <w:t>20</w:t>
      </w:r>
      <w:r>
        <w:rPr>
          <w:rFonts w:hint="eastAsia" w:ascii="仿宋" w:hAnsi="仿宋" w:eastAsia="仿宋" w:cs="仿宋"/>
          <w:b/>
          <w:bCs/>
          <w:sz w:val="40"/>
          <w:szCs w:val="40"/>
          <w:lang w:val="en-US" w:eastAsia="zh-CN"/>
        </w:rPr>
        <w:t>21</w:t>
      </w:r>
      <w:r>
        <w:rPr>
          <w:rFonts w:hint="eastAsia" w:ascii="仿宋" w:hAnsi="仿宋" w:eastAsia="仿宋" w:cs="仿宋"/>
          <w:b/>
          <w:bCs/>
          <w:sz w:val="40"/>
          <w:szCs w:val="40"/>
        </w:rPr>
        <w:t>年度县</w:t>
      </w:r>
      <w:r>
        <w:rPr>
          <w:rFonts w:hint="eastAsia" w:ascii="仿宋" w:hAnsi="仿宋" w:eastAsia="仿宋" w:cs="仿宋"/>
          <w:b/>
          <w:bCs/>
          <w:sz w:val="40"/>
          <w:szCs w:val="40"/>
          <w:lang w:eastAsia="zh-CN"/>
        </w:rPr>
        <w:t>教育局</w:t>
      </w:r>
      <w:r>
        <w:rPr>
          <w:rFonts w:hint="eastAsia" w:ascii="仿宋" w:hAnsi="仿宋" w:eastAsia="仿宋" w:cs="仿宋"/>
          <w:b/>
          <w:bCs/>
          <w:sz w:val="40"/>
          <w:szCs w:val="40"/>
        </w:rPr>
        <w:t>整体支出</w:t>
      </w:r>
    </w:p>
    <w:p>
      <w:pPr>
        <w:jc w:val="center"/>
        <w:rPr>
          <w:rFonts w:hint="eastAsia" w:ascii="仿宋" w:hAnsi="仿宋" w:eastAsia="仿宋" w:cs="仿宋"/>
          <w:sz w:val="32"/>
          <w:szCs w:val="32"/>
        </w:rPr>
      </w:pPr>
      <w:r>
        <w:rPr>
          <w:rFonts w:hint="eastAsia" w:ascii="仿宋" w:hAnsi="仿宋" w:eastAsia="仿宋" w:cs="仿宋"/>
          <w:b/>
          <w:bCs/>
          <w:sz w:val="40"/>
          <w:szCs w:val="40"/>
        </w:rPr>
        <w:t>绩效自评报告</w:t>
      </w:r>
      <w:r>
        <w:rPr>
          <w:rFonts w:hint="eastAsia" w:ascii="仿宋" w:hAnsi="仿宋" w:eastAsia="仿宋" w:cs="仿宋"/>
          <w:sz w:val="32"/>
          <w:szCs w:val="32"/>
        </w:rPr>
        <w:t xml:space="preserve"> </w:t>
      </w:r>
    </w:p>
    <w:p>
      <w:pPr>
        <w:jc w:val="center"/>
        <w:rPr>
          <w:rFonts w:ascii="仿宋_GB2312" w:hAnsi="仿宋_GB2312" w:eastAsia="仿宋_GB2312" w:cs="仿宋_GB2312"/>
          <w:sz w:val="32"/>
          <w:szCs w:val="32"/>
        </w:rPr>
      </w:pPr>
    </w:p>
    <w:p>
      <w:pPr>
        <w:widowControl/>
        <w:numPr>
          <w:ilvl w:val="0"/>
          <w:numId w:val="1"/>
        </w:numPr>
        <w:spacing w:line="520" w:lineRule="exact"/>
        <w:jc w:val="left"/>
        <w:rPr>
          <w:rFonts w:hint="eastAsia" w:ascii="仿宋" w:hAnsi="仿宋" w:eastAsia="仿宋" w:cs="仿宋"/>
          <w:b/>
          <w:bCs/>
          <w:sz w:val="32"/>
          <w:szCs w:val="32"/>
        </w:rPr>
      </w:pPr>
      <w:r>
        <w:rPr>
          <w:rFonts w:hint="eastAsia" w:ascii="仿宋" w:hAnsi="仿宋" w:eastAsia="仿宋" w:cs="仿宋"/>
          <w:b/>
          <w:bCs/>
          <w:sz w:val="32"/>
          <w:szCs w:val="32"/>
        </w:rPr>
        <w:t>机构编制人员情况</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b/>
          <w:bCs/>
          <w:color w:val="auto"/>
          <w:sz w:val="32"/>
          <w:szCs w:val="32"/>
        </w:rPr>
      </w:pPr>
      <w:r>
        <w:rPr>
          <w:rFonts w:hint="eastAsia" w:ascii="仿宋" w:hAnsi="仿宋" w:eastAsia="仿宋" w:cs="仿宋"/>
          <w:kern w:val="1"/>
          <w:sz w:val="32"/>
          <w:szCs w:val="32"/>
          <w:lang w:val="zh-CN"/>
        </w:rPr>
        <w:t>教育局为全额拨款行政单位，设有办公室、装备站、监察室、人事股、基建办、高考指导办、基教股、综治办、计财股、工会、勤管站、教研室、民教股</w:t>
      </w:r>
      <w:r>
        <w:rPr>
          <w:rFonts w:hint="eastAsia" w:ascii="仿宋" w:hAnsi="仿宋" w:eastAsia="仿宋" w:cs="仿宋"/>
          <w:kern w:val="1"/>
          <w:sz w:val="32"/>
          <w:szCs w:val="32"/>
          <w:lang w:val="zh-CN" w:eastAsia="zh-CN"/>
        </w:rPr>
        <w:t>、法规股</w:t>
      </w:r>
      <w:r>
        <w:rPr>
          <w:rFonts w:hint="eastAsia" w:ascii="仿宋" w:hAnsi="仿宋" w:eastAsia="仿宋" w:cs="仿宋"/>
          <w:kern w:val="1"/>
          <w:sz w:val="32"/>
          <w:szCs w:val="32"/>
          <w:lang w:val="zh-CN"/>
        </w:rPr>
        <w:t>共1</w:t>
      </w:r>
      <w:r>
        <w:rPr>
          <w:rFonts w:hint="eastAsia" w:ascii="仿宋" w:hAnsi="仿宋" w:eastAsia="仿宋" w:cs="仿宋"/>
          <w:kern w:val="1"/>
          <w:sz w:val="32"/>
          <w:szCs w:val="32"/>
          <w:lang w:val="en-US" w:eastAsia="zh-CN"/>
        </w:rPr>
        <w:t>4</w:t>
      </w:r>
      <w:r>
        <w:rPr>
          <w:rFonts w:hint="eastAsia" w:ascii="仿宋" w:hAnsi="仿宋" w:eastAsia="仿宋" w:cs="仿宋"/>
          <w:kern w:val="1"/>
          <w:sz w:val="32"/>
          <w:szCs w:val="32"/>
          <w:lang w:val="zh-CN"/>
        </w:rPr>
        <w:t>个股室；设有青少年活动中心、学生资助中心</w:t>
      </w:r>
      <w:r>
        <w:rPr>
          <w:rFonts w:hint="eastAsia" w:ascii="仿宋" w:hAnsi="仿宋" w:eastAsia="仿宋" w:cs="仿宋"/>
          <w:kern w:val="1"/>
          <w:sz w:val="32"/>
          <w:szCs w:val="32"/>
          <w:lang w:val="zh-CN" w:eastAsia="zh-CN"/>
        </w:rPr>
        <w:t>、就业指导中心</w:t>
      </w:r>
      <w:r>
        <w:rPr>
          <w:rFonts w:hint="eastAsia" w:ascii="仿宋" w:hAnsi="仿宋" w:eastAsia="仿宋" w:cs="仿宋"/>
          <w:kern w:val="1"/>
          <w:sz w:val="32"/>
          <w:szCs w:val="32"/>
          <w:lang w:val="en-US" w:eastAsia="zh-CN"/>
        </w:rPr>
        <w:t>3</w:t>
      </w:r>
      <w:r>
        <w:rPr>
          <w:rFonts w:hint="eastAsia" w:ascii="仿宋" w:hAnsi="仿宋" w:eastAsia="仿宋" w:cs="仿宋"/>
          <w:kern w:val="1"/>
          <w:sz w:val="32"/>
          <w:szCs w:val="32"/>
          <w:lang w:val="zh-CN"/>
        </w:rPr>
        <w:t>个二级机构。核定编制</w:t>
      </w:r>
      <w:r>
        <w:rPr>
          <w:rFonts w:hint="eastAsia" w:ascii="仿宋" w:hAnsi="仿宋" w:eastAsia="仿宋" w:cs="仿宋"/>
          <w:kern w:val="1"/>
          <w:sz w:val="32"/>
          <w:szCs w:val="32"/>
          <w:lang w:val="en-US" w:eastAsia="zh-CN"/>
        </w:rPr>
        <w:t>80</w:t>
      </w:r>
      <w:r>
        <w:rPr>
          <w:rFonts w:hint="eastAsia" w:ascii="仿宋" w:hAnsi="仿宋" w:eastAsia="仿宋" w:cs="仿宋"/>
          <w:kern w:val="1"/>
          <w:sz w:val="32"/>
          <w:szCs w:val="32"/>
          <w:lang w:val="zh-CN"/>
        </w:rPr>
        <w:t>人，其中，行政编</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lang w:val="zh-CN"/>
        </w:rPr>
        <w:t>人，事业编</w:t>
      </w:r>
      <w:r>
        <w:rPr>
          <w:rFonts w:hint="eastAsia" w:ascii="仿宋" w:hAnsi="仿宋" w:eastAsia="仿宋" w:cs="仿宋"/>
          <w:kern w:val="1"/>
          <w:sz w:val="32"/>
          <w:szCs w:val="32"/>
          <w:lang w:val="en-US" w:eastAsia="zh-CN"/>
        </w:rPr>
        <w:t>71</w:t>
      </w:r>
      <w:r>
        <w:rPr>
          <w:rFonts w:hint="eastAsia" w:ascii="仿宋" w:hAnsi="仿宋" w:eastAsia="仿宋" w:cs="仿宋"/>
          <w:kern w:val="1"/>
          <w:sz w:val="32"/>
          <w:szCs w:val="32"/>
          <w:lang w:val="zh-CN"/>
        </w:rPr>
        <w:t>人，</w:t>
      </w:r>
      <w:r>
        <w:rPr>
          <w:rFonts w:hint="eastAsia" w:ascii="仿宋" w:hAnsi="仿宋" w:eastAsia="仿宋" w:cs="仿宋"/>
          <w:color w:val="auto"/>
          <w:kern w:val="1"/>
          <w:sz w:val="32"/>
          <w:szCs w:val="32"/>
          <w:lang w:val="zh-CN"/>
        </w:rPr>
        <w:t>工勤编</w:t>
      </w:r>
      <w:r>
        <w:rPr>
          <w:rFonts w:hint="eastAsia" w:ascii="仿宋" w:hAnsi="仿宋" w:eastAsia="仿宋" w:cs="仿宋"/>
          <w:color w:val="auto"/>
          <w:kern w:val="1"/>
          <w:sz w:val="32"/>
          <w:szCs w:val="32"/>
          <w:lang w:val="en-US" w:eastAsia="zh-CN"/>
        </w:rPr>
        <w:t>1</w:t>
      </w:r>
      <w:r>
        <w:rPr>
          <w:rFonts w:hint="eastAsia" w:ascii="仿宋" w:hAnsi="仿宋" w:eastAsia="仿宋" w:cs="仿宋"/>
          <w:color w:val="auto"/>
          <w:kern w:val="1"/>
          <w:sz w:val="32"/>
          <w:szCs w:val="32"/>
          <w:lang w:val="zh-CN"/>
        </w:rPr>
        <w:t>人。截止20</w:t>
      </w:r>
      <w:r>
        <w:rPr>
          <w:rFonts w:hint="eastAsia" w:ascii="仿宋" w:hAnsi="仿宋" w:eastAsia="仿宋" w:cs="仿宋"/>
          <w:color w:val="auto"/>
          <w:kern w:val="1"/>
          <w:sz w:val="32"/>
          <w:szCs w:val="32"/>
          <w:lang w:val="en-US" w:eastAsia="zh-CN"/>
        </w:rPr>
        <w:t>21</w:t>
      </w:r>
      <w:r>
        <w:rPr>
          <w:rFonts w:hint="eastAsia" w:ascii="仿宋" w:hAnsi="仿宋" w:eastAsia="仿宋" w:cs="仿宋"/>
          <w:color w:val="auto"/>
          <w:kern w:val="1"/>
          <w:sz w:val="32"/>
          <w:szCs w:val="32"/>
          <w:lang w:val="zh-CN"/>
        </w:rPr>
        <w:t>年12月底，实有人数</w:t>
      </w:r>
      <w:r>
        <w:rPr>
          <w:rFonts w:hint="eastAsia" w:ascii="仿宋" w:hAnsi="仿宋" w:eastAsia="仿宋" w:cs="仿宋"/>
          <w:color w:val="auto"/>
          <w:kern w:val="1"/>
          <w:sz w:val="32"/>
          <w:szCs w:val="32"/>
          <w:lang w:val="en-US" w:eastAsia="zh-CN"/>
        </w:rPr>
        <w:t>150</w:t>
      </w:r>
      <w:r>
        <w:rPr>
          <w:rFonts w:hint="eastAsia" w:ascii="仿宋" w:hAnsi="仿宋" w:eastAsia="仿宋" w:cs="仿宋"/>
          <w:color w:val="auto"/>
          <w:kern w:val="1"/>
          <w:sz w:val="32"/>
          <w:szCs w:val="32"/>
          <w:lang w:val="zh-CN"/>
        </w:rPr>
        <w:t>人，其中在职</w:t>
      </w:r>
      <w:r>
        <w:rPr>
          <w:rFonts w:hint="eastAsia" w:ascii="仿宋" w:hAnsi="仿宋" w:eastAsia="仿宋" w:cs="仿宋"/>
          <w:color w:val="auto"/>
          <w:kern w:val="1"/>
          <w:sz w:val="32"/>
          <w:szCs w:val="32"/>
          <w:lang w:val="en-US" w:eastAsia="zh-CN"/>
        </w:rPr>
        <w:t>80</w:t>
      </w:r>
      <w:r>
        <w:rPr>
          <w:rFonts w:hint="eastAsia" w:ascii="仿宋" w:hAnsi="仿宋" w:eastAsia="仿宋" w:cs="仿宋"/>
          <w:color w:val="auto"/>
          <w:kern w:val="1"/>
          <w:sz w:val="32"/>
          <w:szCs w:val="32"/>
          <w:lang w:val="zh-CN"/>
        </w:rPr>
        <w:t>人，单位退休人员</w:t>
      </w:r>
      <w:r>
        <w:rPr>
          <w:rFonts w:hint="eastAsia" w:ascii="仿宋" w:hAnsi="仿宋" w:eastAsia="仿宋" w:cs="仿宋"/>
          <w:color w:val="auto"/>
          <w:kern w:val="1"/>
          <w:sz w:val="32"/>
          <w:szCs w:val="32"/>
          <w:lang w:val="en-US" w:eastAsia="zh-CN"/>
        </w:rPr>
        <w:t>70</w:t>
      </w:r>
      <w:r>
        <w:rPr>
          <w:rFonts w:hint="eastAsia" w:ascii="仿宋" w:hAnsi="仿宋" w:eastAsia="仿宋" w:cs="仿宋"/>
          <w:color w:val="auto"/>
          <w:kern w:val="1"/>
          <w:sz w:val="32"/>
          <w:szCs w:val="32"/>
        </w:rPr>
        <w:t>人。</w:t>
      </w:r>
    </w:p>
    <w:p>
      <w:pPr>
        <w:widowControl/>
        <w:spacing w:line="520" w:lineRule="exact"/>
        <w:ind w:firstLine="643" w:firstLineChars="200"/>
        <w:jc w:val="left"/>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二、单位主要职能与年度绩效目标</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我单位主要职责有：</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1、监督、检查各级各类学校贯彻执行党和国家的教育方针、政策、法规和制度，拟定执行计划、具体实施办法以及适合本县情况的补充规定和细则。</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2、管理本县所辖普通中小学教育、职业技术教育、特殊教育、少数民族教育、成人教育、学前教育、校外教育、电化教育等。</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3、推行和实施九年义务教育，努力发展幼儿教育。</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4、组织与管理全国、全省及县内各级各类学校在本县内的招生和自学考试工作。</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5、管理教育事业编制及人事工作。</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6、编制和实施本县教育事业建设的长远规划、各年度教育事业发展计划、教育基本建设计划，仪器的购置和更新计划，处理执行计划中的有关问题。</w:t>
      </w:r>
    </w:p>
    <w:p>
      <w:pPr>
        <w:keepNext w:val="0"/>
        <w:keepLines w:val="0"/>
        <w:pageBreakBefore w:val="0"/>
        <w:widowControl w:val="0"/>
        <w:kinsoku/>
        <w:wordWrap/>
        <w:overflowPunct/>
        <w:topLinePunct w:val="0"/>
        <w:autoSpaceDE/>
        <w:autoSpaceDN/>
        <w:bidi w:val="0"/>
        <w:adjustRightInd/>
        <w:snapToGrid/>
        <w:spacing w:line="440" w:lineRule="exact"/>
        <w:ind w:left="319" w:leftChars="152" w:firstLine="640" w:firstLineChars="200"/>
        <w:textAlignment w:val="auto"/>
        <w:rPr>
          <w:rFonts w:hint="eastAsia" w:ascii="仿宋" w:hAnsi="仿宋" w:eastAsia="仿宋" w:cs="仿宋"/>
          <w:kern w:val="1"/>
          <w:sz w:val="32"/>
          <w:szCs w:val="32"/>
          <w:lang w:val="zh-CN"/>
        </w:rPr>
      </w:pPr>
      <w:r>
        <w:rPr>
          <w:rFonts w:hint="eastAsia" w:ascii="仿宋" w:hAnsi="仿宋" w:eastAsia="仿宋" w:cs="仿宋"/>
          <w:kern w:val="1"/>
          <w:sz w:val="32"/>
          <w:szCs w:val="32"/>
          <w:lang w:val="zh-CN"/>
        </w:rPr>
        <w:t>7、组织教育科学研究和教育信息资料的传播工作。</w:t>
      </w:r>
    </w:p>
    <w:p>
      <w:pPr>
        <w:spacing w:line="520" w:lineRule="exact"/>
        <w:rPr>
          <w:rFonts w:hint="eastAsia" w:ascii="仿宋" w:hAnsi="仿宋" w:eastAsia="仿宋" w:cs="仿宋"/>
          <w:color w:val="FF0000"/>
          <w:sz w:val="32"/>
          <w:szCs w:val="32"/>
          <w:lang w:val="zh-CN"/>
        </w:rPr>
      </w:pPr>
    </w:p>
    <w:p>
      <w:pPr>
        <w:widowControl/>
        <w:spacing w:line="52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lang w:val="zh-CN"/>
        </w:rPr>
        <w:t>三、</w:t>
      </w:r>
      <w:r>
        <w:rPr>
          <w:rFonts w:hint="eastAsia" w:ascii="仿宋" w:hAnsi="仿宋" w:eastAsia="仿宋" w:cs="仿宋"/>
          <w:b/>
          <w:bCs/>
          <w:sz w:val="30"/>
          <w:szCs w:val="30"/>
        </w:rPr>
        <w:t>20</w:t>
      </w:r>
      <w:r>
        <w:rPr>
          <w:rFonts w:hint="eastAsia" w:ascii="仿宋" w:hAnsi="仿宋" w:eastAsia="仿宋" w:cs="仿宋"/>
          <w:b/>
          <w:bCs/>
          <w:sz w:val="30"/>
          <w:szCs w:val="30"/>
          <w:lang w:val="en-US" w:eastAsia="zh-CN"/>
        </w:rPr>
        <w:t>21</w:t>
      </w:r>
      <w:r>
        <w:rPr>
          <w:rFonts w:hint="eastAsia" w:ascii="仿宋" w:hAnsi="仿宋" w:eastAsia="仿宋" w:cs="仿宋"/>
          <w:b/>
          <w:bCs/>
          <w:sz w:val="30"/>
          <w:szCs w:val="30"/>
        </w:rPr>
        <w:t>年度整体支出及管理情况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年总收入1948.16</w:t>
      </w:r>
      <w:r>
        <w:rPr>
          <w:rFonts w:hint="eastAsia" w:ascii="仿宋" w:hAnsi="仿宋" w:eastAsia="仿宋" w:cs="仿宋"/>
          <w:sz w:val="32"/>
          <w:szCs w:val="32"/>
        </w:rPr>
        <w:t>万元，其中年初预算安排</w:t>
      </w:r>
      <w:r>
        <w:rPr>
          <w:rFonts w:hint="eastAsia" w:ascii="仿宋" w:hAnsi="仿宋" w:eastAsia="仿宋" w:cs="仿宋"/>
          <w:sz w:val="32"/>
          <w:szCs w:val="32"/>
          <w:lang w:val="en-US" w:eastAsia="zh-CN"/>
        </w:rPr>
        <w:t>1742.45</w:t>
      </w:r>
      <w:r>
        <w:rPr>
          <w:rFonts w:hint="eastAsia" w:ascii="仿宋" w:hAnsi="仿宋" w:eastAsia="仿宋" w:cs="仿宋"/>
          <w:sz w:val="32"/>
          <w:szCs w:val="32"/>
        </w:rPr>
        <w:t>万元，上年结转205.71</w:t>
      </w:r>
      <w:r>
        <w:rPr>
          <w:rFonts w:hint="eastAsia" w:ascii="仿宋" w:hAnsi="仿宋" w:eastAsia="仿宋" w:cs="仿宋"/>
          <w:sz w:val="32"/>
          <w:szCs w:val="32"/>
        </w:rPr>
        <w:t>万元。实际总支出</w:t>
      </w:r>
      <w:r>
        <w:rPr>
          <w:rFonts w:hint="eastAsia" w:ascii="仿宋" w:hAnsi="仿宋" w:eastAsia="仿宋" w:cs="仿宋"/>
          <w:sz w:val="32"/>
          <w:szCs w:val="32"/>
          <w:lang w:val="en-US" w:eastAsia="zh-CN"/>
        </w:rPr>
        <w:t>1752.45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1390.45</w:t>
      </w:r>
      <w:r>
        <w:rPr>
          <w:rFonts w:hint="eastAsia" w:ascii="仿宋" w:hAnsi="仿宋" w:eastAsia="仿宋" w:cs="仿宋"/>
          <w:sz w:val="32"/>
          <w:szCs w:val="32"/>
        </w:rPr>
        <w:t>万元，占年初预算基本支出的</w:t>
      </w:r>
      <w:r>
        <w:rPr>
          <w:rFonts w:hint="eastAsia" w:ascii="仿宋" w:hAnsi="仿宋" w:eastAsia="仿宋" w:cs="仿宋"/>
          <w:sz w:val="32"/>
          <w:szCs w:val="32"/>
          <w:lang w:val="en-US" w:eastAsia="zh-CN"/>
        </w:rPr>
        <w:t>99.8</w:t>
      </w:r>
      <w:r>
        <w:rPr>
          <w:rFonts w:hint="eastAsia" w:ascii="仿宋" w:hAnsi="仿宋" w:eastAsia="仿宋" w:cs="仿宋"/>
          <w:sz w:val="32"/>
          <w:szCs w:val="32"/>
        </w:rPr>
        <w:t>%，占全年总支出的</w:t>
      </w:r>
      <w:r>
        <w:rPr>
          <w:rFonts w:hint="eastAsia" w:ascii="仿宋" w:hAnsi="仿宋" w:eastAsia="仿宋" w:cs="仿宋"/>
          <w:sz w:val="32"/>
          <w:szCs w:val="32"/>
          <w:lang w:val="en-US" w:eastAsia="zh-CN"/>
        </w:rPr>
        <w:t>79.34</w:t>
      </w:r>
      <w:r>
        <w:rPr>
          <w:rFonts w:hint="eastAsia" w:ascii="仿宋" w:hAnsi="仿宋" w:eastAsia="仿宋" w:cs="仿宋"/>
          <w:sz w:val="32"/>
          <w:szCs w:val="32"/>
        </w:rPr>
        <w:t>%；项目支出</w:t>
      </w:r>
      <w:r>
        <w:rPr>
          <w:rFonts w:hint="eastAsia" w:ascii="仿宋" w:hAnsi="仿宋" w:eastAsia="仿宋" w:cs="仿宋"/>
          <w:sz w:val="32"/>
          <w:szCs w:val="32"/>
          <w:lang w:val="zh-CN"/>
        </w:rPr>
        <w:t>362</w:t>
      </w:r>
      <w:r>
        <w:rPr>
          <w:rFonts w:hint="eastAsia" w:ascii="仿宋" w:hAnsi="仿宋" w:eastAsia="仿宋" w:cs="仿宋"/>
          <w:sz w:val="32"/>
          <w:szCs w:val="32"/>
        </w:rPr>
        <w:t>万元，其中县级财政项目支出</w:t>
      </w:r>
      <w:r>
        <w:rPr>
          <w:rFonts w:hint="eastAsia" w:ascii="仿宋" w:hAnsi="仿宋" w:eastAsia="仿宋" w:cs="仿宋"/>
          <w:sz w:val="32"/>
          <w:szCs w:val="32"/>
          <w:lang w:val="zh-CN"/>
        </w:rPr>
        <w:t>362</w:t>
      </w:r>
      <w:r>
        <w:rPr>
          <w:rFonts w:hint="eastAsia" w:ascii="仿宋" w:hAnsi="仿宋" w:eastAsia="仿宋" w:cs="仿宋"/>
          <w:sz w:val="32"/>
          <w:szCs w:val="32"/>
        </w:rPr>
        <w:t>万元，占全年总支出的</w:t>
      </w:r>
      <w:r>
        <w:rPr>
          <w:rFonts w:hint="eastAsia" w:ascii="仿宋" w:hAnsi="仿宋" w:eastAsia="仿宋" w:cs="仿宋"/>
          <w:sz w:val="32"/>
          <w:szCs w:val="32"/>
          <w:lang w:val="en-US" w:eastAsia="zh-CN"/>
        </w:rPr>
        <w:t>20.65</w:t>
      </w:r>
      <w:r>
        <w:rPr>
          <w:rFonts w:hint="eastAsia" w:ascii="仿宋" w:hAnsi="仿宋" w:eastAsia="仿宋" w:cs="仿宋"/>
          <w:sz w:val="32"/>
          <w:szCs w:val="32"/>
        </w:rPr>
        <w:t>%；年度结余</w:t>
      </w:r>
      <w:r>
        <w:rPr>
          <w:rFonts w:hint="eastAsia" w:ascii="仿宋" w:hAnsi="仿宋" w:eastAsia="仿宋" w:cs="仿宋"/>
          <w:sz w:val="32"/>
          <w:szCs w:val="32"/>
          <w:lang w:val="en-US" w:eastAsia="zh-CN"/>
        </w:rPr>
        <w:t>195.71</w:t>
      </w:r>
      <w:r>
        <w:rPr>
          <w:rFonts w:hint="eastAsia" w:ascii="仿宋" w:hAnsi="仿宋" w:eastAsia="仿宋" w:cs="仿宋"/>
          <w:sz w:val="32"/>
          <w:szCs w:val="32"/>
        </w:rPr>
        <w:t>万元，占总收入的</w:t>
      </w:r>
      <w:r>
        <w:rPr>
          <w:rFonts w:hint="eastAsia" w:ascii="仿宋" w:hAnsi="仿宋" w:eastAsia="仿宋" w:cs="仿宋"/>
          <w:sz w:val="32"/>
          <w:szCs w:val="32"/>
          <w:lang w:val="en-US" w:eastAsia="zh-CN"/>
        </w:rPr>
        <w:t>10.04</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基本支出情况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年基本支出</w:t>
      </w:r>
      <w:r>
        <w:rPr>
          <w:rFonts w:hint="eastAsia" w:ascii="仿宋" w:hAnsi="仿宋" w:eastAsia="仿宋" w:cs="仿宋"/>
          <w:sz w:val="32"/>
          <w:szCs w:val="32"/>
          <w:lang w:val="en-US" w:eastAsia="zh-CN"/>
        </w:rPr>
        <w:t>1390.45</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79.34</w:t>
      </w:r>
      <w:r>
        <w:rPr>
          <w:rFonts w:hint="eastAsia" w:ascii="仿宋" w:hAnsi="仿宋" w:eastAsia="仿宋" w:cs="仿宋"/>
          <w:sz w:val="32"/>
          <w:szCs w:val="32"/>
        </w:rPr>
        <w:t>%；其中人员经费支出</w:t>
      </w:r>
      <w:r>
        <w:rPr>
          <w:rFonts w:hint="eastAsia" w:ascii="仿宋" w:hAnsi="仿宋" w:eastAsia="仿宋" w:cs="仿宋"/>
          <w:sz w:val="32"/>
          <w:szCs w:val="32"/>
          <w:lang w:val="en-US" w:eastAsia="zh-CN"/>
        </w:rPr>
        <w:t>1139</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78.82</w:t>
      </w:r>
      <w:r>
        <w:rPr>
          <w:rFonts w:hint="eastAsia" w:ascii="仿宋" w:hAnsi="仿宋" w:eastAsia="仿宋" w:cs="仿宋"/>
          <w:sz w:val="32"/>
          <w:szCs w:val="32"/>
        </w:rPr>
        <w:t>%；公用经费支出</w:t>
      </w:r>
      <w:r>
        <w:rPr>
          <w:rFonts w:hint="eastAsia" w:ascii="仿宋" w:hAnsi="仿宋" w:eastAsia="仿宋" w:cs="仿宋"/>
          <w:sz w:val="32"/>
          <w:szCs w:val="32"/>
          <w:lang w:val="en-US" w:eastAsia="zh-CN"/>
        </w:rPr>
        <w:t>251.45</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14.34</w:t>
      </w:r>
      <w:r>
        <w:rPr>
          <w:rFonts w:hint="eastAsia" w:ascii="仿宋" w:hAnsi="仿宋" w:eastAsia="仿宋" w:cs="仿宋"/>
          <w:sz w:val="32"/>
          <w:szCs w:val="32"/>
        </w:rPr>
        <w:t>%;具体包括：</w:t>
      </w:r>
    </w:p>
    <w:p>
      <w:pPr>
        <w:numPr>
          <w:ilvl w:val="0"/>
          <w:numId w:val="2"/>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工资福利支出1090.86</w:t>
      </w:r>
      <w:r>
        <w:rPr>
          <w:rFonts w:hint="eastAsia" w:ascii="仿宋" w:hAnsi="仿宋" w:eastAsia="仿宋" w:cs="仿宋"/>
          <w:sz w:val="32"/>
          <w:szCs w:val="32"/>
        </w:rPr>
        <w:t>万元，对个人和家庭的补助48.14</w:t>
      </w:r>
      <w:r>
        <w:rPr>
          <w:rFonts w:hint="eastAsia" w:ascii="仿宋" w:hAnsi="仿宋" w:eastAsia="仿宋" w:cs="仿宋"/>
          <w:sz w:val="32"/>
          <w:szCs w:val="32"/>
        </w:rPr>
        <w:t>万元；</w:t>
      </w:r>
    </w:p>
    <w:p>
      <w:pPr>
        <w:numPr>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商品和服务支出2</w:t>
      </w:r>
      <w:r>
        <w:rPr>
          <w:rFonts w:hint="eastAsia" w:ascii="仿宋" w:hAnsi="仿宋" w:eastAsia="仿宋" w:cs="仿宋"/>
          <w:sz w:val="32"/>
          <w:szCs w:val="32"/>
          <w:lang w:val="en-US" w:eastAsia="zh-CN"/>
        </w:rPr>
        <w:t>5</w:t>
      </w:r>
      <w:r>
        <w:rPr>
          <w:rFonts w:hint="eastAsia" w:ascii="仿宋" w:hAnsi="仿宋" w:eastAsia="仿宋" w:cs="仿宋"/>
          <w:sz w:val="32"/>
          <w:szCs w:val="32"/>
        </w:rPr>
        <w:t>1.45万</w:t>
      </w:r>
      <w:r>
        <w:rPr>
          <w:rFonts w:hint="eastAsia" w:ascii="仿宋" w:hAnsi="仿宋" w:eastAsia="仿宋" w:cs="仿宋"/>
          <w:sz w:val="32"/>
          <w:szCs w:val="32"/>
        </w:rPr>
        <w:t>元（办公费</w:t>
      </w:r>
      <w:r>
        <w:rPr>
          <w:rFonts w:hint="eastAsia" w:ascii="仿宋" w:hAnsi="仿宋" w:eastAsia="仿宋" w:cs="仿宋"/>
          <w:sz w:val="32"/>
          <w:szCs w:val="32"/>
          <w:lang w:val="en-US" w:eastAsia="zh-CN"/>
        </w:rPr>
        <w:t>50.89</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27.55</w:t>
      </w:r>
      <w:r>
        <w:rPr>
          <w:rFonts w:hint="eastAsia" w:ascii="仿宋" w:hAnsi="仿宋" w:eastAsia="仿宋" w:cs="仿宋"/>
          <w:sz w:val="32"/>
          <w:szCs w:val="32"/>
        </w:rPr>
        <w:t>万元、水费</w:t>
      </w:r>
      <w:r>
        <w:rPr>
          <w:rFonts w:hint="eastAsia" w:ascii="仿宋" w:hAnsi="仿宋" w:eastAsia="仿宋" w:cs="仿宋"/>
          <w:sz w:val="32"/>
          <w:szCs w:val="32"/>
          <w:lang w:val="en-US" w:eastAsia="zh-CN"/>
        </w:rPr>
        <w:t>2</w:t>
      </w:r>
      <w:r>
        <w:rPr>
          <w:rFonts w:hint="eastAsia" w:ascii="仿宋" w:hAnsi="仿宋" w:eastAsia="仿宋" w:cs="仿宋"/>
          <w:sz w:val="32"/>
          <w:szCs w:val="32"/>
        </w:rPr>
        <w:t>万元、电费</w:t>
      </w:r>
      <w:r>
        <w:rPr>
          <w:rFonts w:hint="eastAsia" w:ascii="仿宋" w:hAnsi="仿宋" w:eastAsia="仿宋" w:cs="仿宋"/>
          <w:sz w:val="32"/>
          <w:szCs w:val="32"/>
          <w:lang w:val="en-US" w:eastAsia="zh-CN"/>
        </w:rPr>
        <w:t>8.7</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4</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20</w:t>
      </w:r>
      <w:r>
        <w:rPr>
          <w:rFonts w:hint="eastAsia" w:ascii="仿宋" w:hAnsi="仿宋" w:eastAsia="仿宋" w:cs="仿宋"/>
          <w:sz w:val="32"/>
          <w:szCs w:val="32"/>
        </w:rPr>
        <w:t>万元、维修（护）费</w:t>
      </w:r>
      <w:r>
        <w:rPr>
          <w:rFonts w:hint="eastAsia" w:ascii="仿宋" w:hAnsi="仿宋" w:eastAsia="仿宋" w:cs="仿宋"/>
          <w:sz w:val="32"/>
          <w:szCs w:val="32"/>
          <w:lang w:val="en-US" w:eastAsia="zh-CN"/>
        </w:rPr>
        <w:t>4</w:t>
      </w:r>
      <w:r>
        <w:rPr>
          <w:rFonts w:hint="eastAsia" w:ascii="仿宋" w:hAnsi="仿宋" w:eastAsia="仿宋" w:cs="仿宋"/>
          <w:sz w:val="32"/>
          <w:szCs w:val="32"/>
        </w:rPr>
        <w:t>万元、</w:t>
      </w:r>
      <w:r>
        <w:rPr>
          <w:rFonts w:hint="eastAsia" w:ascii="仿宋" w:hAnsi="仿宋" w:eastAsia="仿宋" w:cs="仿宋"/>
          <w:sz w:val="32"/>
          <w:szCs w:val="32"/>
          <w:lang w:eastAsia="zh-CN"/>
        </w:rPr>
        <w:t>租赁费</w:t>
      </w:r>
      <w:r>
        <w:rPr>
          <w:rFonts w:hint="eastAsia" w:ascii="仿宋" w:hAnsi="仿宋" w:eastAsia="仿宋" w:cs="仿宋"/>
          <w:sz w:val="32"/>
          <w:szCs w:val="32"/>
          <w:lang w:val="en-US" w:eastAsia="zh-CN"/>
        </w:rPr>
        <w:t>2.22万元、</w:t>
      </w:r>
      <w:r>
        <w:rPr>
          <w:rFonts w:hint="eastAsia" w:ascii="仿宋" w:hAnsi="仿宋" w:eastAsia="仿宋" w:cs="仿宋"/>
          <w:sz w:val="32"/>
          <w:szCs w:val="32"/>
        </w:rPr>
        <w:t>会议费</w:t>
      </w:r>
      <w:r>
        <w:rPr>
          <w:rFonts w:hint="eastAsia" w:ascii="仿宋" w:hAnsi="仿宋" w:eastAsia="仿宋" w:cs="仿宋"/>
          <w:sz w:val="32"/>
          <w:szCs w:val="32"/>
          <w:lang w:val="en-US" w:eastAsia="zh-CN"/>
        </w:rPr>
        <w:t>2</w:t>
      </w:r>
      <w:r>
        <w:rPr>
          <w:rFonts w:hint="eastAsia" w:ascii="仿宋" w:hAnsi="仿宋" w:eastAsia="仿宋" w:cs="仿宋"/>
          <w:sz w:val="32"/>
          <w:szCs w:val="32"/>
        </w:rPr>
        <w:t>万元、培训费</w:t>
      </w:r>
      <w:r>
        <w:rPr>
          <w:rFonts w:hint="eastAsia" w:ascii="仿宋" w:hAnsi="仿宋" w:eastAsia="仿宋" w:cs="仿宋"/>
          <w:sz w:val="32"/>
          <w:szCs w:val="32"/>
          <w:lang w:val="en-US" w:eastAsia="zh-CN"/>
        </w:rPr>
        <w:t>13.3</w:t>
      </w:r>
      <w:r>
        <w:rPr>
          <w:rFonts w:hint="eastAsia" w:ascii="仿宋" w:hAnsi="仿宋" w:eastAsia="仿宋" w:cs="仿宋"/>
          <w:sz w:val="32"/>
          <w:szCs w:val="32"/>
        </w:rPr>
        <w:t>万元、公务招待费</w:t>
      </w:r>
      <w:r>
        <w:rPr>
          <w:rFonts w:hint="eastAsia" w:ascii="仿宋" w:hAnsi="仿宋" w:eastAsia="仿宋" w:cs="仿宋"/>
          <w:sz w:val="32"/>
          <w:szCs w:val="32"/>
          <w:lang w:val="en-US" w:eastAsia="zh-CN"/>
        </w:rPr>
        <w:t>7.7</w:t>
      </w:r>
      <w:r>
        <w:rPr>
          <w:rFonts w:hint="eastAsia" w:ascii="仿宋" w:hAnsi="仿宋" w:eastAsia="仿宋" w:cs="仿宋"/>
          <w:sz w:val="32"/>
          <w:szCs w:val="32"/>
        </w:rPr>
        <w:t>万元、工会经费</w:t>
      </w:r>
      <w:r>
        <w:rPr>
          <w:rFonts w:hint="eastAsia" w:ascii="仿宋" w:hAnsi="仿宋" w:eastAsia="仿宋" w:cs="仿宋"/>
          <w:sz w:val="32"/>
          <w:szCs w:val="32"/>
          <w:lang w:val="en-US" w:eastAsia="zh-CN"/>
        </w:rPr>
        <w:t>5.49</w:t>
      </w:r>
      <w:r>
        <w:rPr>
          <w:rFonts w:hint="eastAsia" w:ascii="仿宋" w:hAnsi="仿宋" w:eastAsia="仿宋" w:cs="仿宋"/>
          <w:sz w:val="32"/>
          <w:szCs w:val="32"/>
        </w:rPr>
        <w:t>万元、 公务用车运行维护费</w:t>
      </w:r>
      <w:r>
        <w:rPr>
          <w:rFonts w:hint="eastAsia" w:ascii="仿宋" w:hAnsi="仿宋" w:eastAsia="仿宋" w:cs="仿宋"/>
          <w:sz w:val="32"/>
          <w:szCs w:val="32"/>
          <w:lang w:val="en-US" w:eastAsia="zh-CN"/>
        </w:rPr>
        <w:t>8.3</w:t>
      </w:r>
      <w:r>
        <w:rPr>
          <w:rFonts w:hint="eastAsia" w:ascii="仿宋" w:hAnsi="仿宋" w:eastAsia="仿宋" w:cs="仿宋"/>
          <w:sz w:val="32"/>
          <w:szCs w:val="32"/>
        </w:rPr>
        <w:t>万元、其他交通费用</w:t>
      </w:r>
      <w:r>
        <w:rPr>
          <w:rFonts w:hint="eastAsia" w:ascii="仿宋" w:hAnsi="仿宋" w:eastAsia="仿宋" w:cs="仿宋"/>
          <w:sz w:val="32"/>
          <w:szCs w:val="32"/>
          <w:lang w:val="en-US" w:eastAsia="zh-CN"/>
        </w:rPr>
        <w:t>66.45</w:t>
      </w:r>
      <w:r>
        <w:rPr>
          <w:rFonts w:hint="eastAsia" w:ascii="仿宋" w:hAnsi="仿宋" w:eastAsia="仿宋" w:cs="仿宋"/>
          <w:sz w:val="32"/>
          <w:szCs w:val="32"/>
        </w:rPr>
        <w:t>万元、其他商品和服务支出</w:t>
      </w:r>
      <w:r>
        <w:rPr>
          <w:rFonts w:hint="eastAsia" w:ascii="仿宋" w:hAnsi="仿宋" w:eastAsia="仿宋" w:cs="仿宋"/>
          <w:sz w:val="32"/>
          <w:szCs w:val="32"/>
          <w:lang w:val="en-US" w:eastAsia="zh-CN"/>
        </w:rPr>
        <w:t>28.55</w:t>
      </w:r>
      <w:r>
        <w:rPr>
          <w:rFonts w:hint="eastAsia" w:ascii="仿宋" w:hAnsi="仿宋" w:eastAsia="仿宋" w:cs="仿宋"/>
          <w:sz w:val="32"/>
          <w:szCs w:val="32"/>
        </w:rPr>
        <w:t>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2、“三公”经费支出情况，“三公”经费年初预算</w:t>
      </w:r>
      <w:r>
        <w:rPr>
          <w:rFonts w:hint="eastAsia" w:ascii="仿宋" w:hAnsi="仿宋" w:eastAsia="仿宋" w:cs="仿宋"/>
          <w:sz w:val="32"/>
          <w:szCs w:val="32"/>
          <w:lang w:val="en-US" w:eastAsia="zh-CN"/>
        </w:rPr>
        <w:t>21</w:t>
      </w:r>
      <w:r>
        <w:rPr>
          <w:rFonts w:hint="eastAsia" w:ascii="仿宋" w:hAnsi="仿宋" w:eastAsia="仿宋" w:cs="仿宋"/>
          <w:color w:val="000000"/>
          <w:sz w:val="32"/>
          <w:szCs w:val="32"/>
        </w:rPr>
        <w:t>万</w:t>
      </w:r>
      <w:r>
        <w:rPr>
          <w:rFonts w:hint="eastAsia" w:ascii="仿宋" w:hAnsi="仿宋" w:eastAsia="仿宋" w:cs="仿宋"/>
          <w:sz w:val="32"/>
          <w:szCs w:val="32"/>
        </w:rPr>
        <w:t>元，其中公务用车运行费</w:t>
      </w:r>
      <w:r>
        <w:rPr>
          <w:rFonts w:hint="eastAsia" w:ascii="仿宋" w:hAnsi="仿宋" w:eastAsia="仿宋" w:cs="仿宋"/>
          <w:sz w:val="32"/>
          <w:szCs w:val="32"/>
          <w:lang w:val="en-US" w:eastAsia="zh-CN"/>
        </w:rPr>
        <w:t>10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11</w:t>
      </w:r>
      <w:r>
        <w:rPr>
          <w:rFonts w:hint="eastAsia" w:ascii="仿宋" w:hAnsi="仿宋" w:eastAsia="仿宋" w:cs="仿宋"/>
          <w:color w:val="000000"/>
          <w:sz w:val="32"/>
          <w:szCs w:val="32"/>
        </w:rPr>
        <w:t>万元</w:t>
      </w:r>
      <w:r>
        <w:rPr>
          <w:rFonts w:hint="eastAsia" w:ascii="仿宋" w:hAnsi="仿宋" w:eastAsia="仿宋" w:cs="仿宋"/>
          <w:sz w:val="32"/>
          <w:szCs w:val="32"/>
        </w:rPr>
        <w:t>。实际“三公”经费支出</w:t>
      </w:r>
      <w:r>
        <w:rPr>
          <w:rFonts w:hint="eastAsia" w:ascii="仿宋" w:hAnsi="仿宋" w:eastAsia="仿宋" w:cs="仿宋"/>
          <w:sz w:val="32"/>
          <w:szCs w:val="32"/>
          <w:lang w:val="en-US" w:eastAsia="zh-CN"/>
        </w:rPr>
        <w:t>16</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76.1</w:t>
      </w:r>
      <w:r>
        <w:rPr>
          <w:rFonts w:hint="eastAsia" w:ascii="仿宋" w:hAnsi="仿宋" w:eastAsia="仿宋" w:cs="仿宋"/>
          <w:color w:val="000000"/>
          <w:sz w:val="32"/>
          <w:szCs w:val="32"/>
        </w:rPr>
        <w:t>%，其中公务用车运行费</w:t>
      </w:r>
      <w:r>
        <w:rPr>
          <w:rFonts w:hint="eastAsia" w:ascii="仿宋" w:hAnsi="仿宋" w:eastAsia="仿宋" w:cs="仿宋"/>
          <w:color w:val="000000"/>
          <w:sz w:val="32"/>
          <w:szCs w:val="32"/>
          <w:lang w:val="en-US" w:eastAsia="zh-CN"/>
        </w:rPr>
        <w:t>8.3</w:t>
      </w:r>
      <w:r>
        <w:rPr>
          <w:rFonts w:hint="eastAsia" w:ascii="仿宋" w:hAnsi="仿宋" w:eastAsia="仿宋" w:cs="仿宋"/>
          <w:color w:val="000000"/>
          <w:sz w:val="32"/>
          <w:szCs w:val="32"/>
        </w:rPr>
        <w:t>万元，占年初预算的</w:t>
      </w:r>
      <w:r>
        <w:rPr>
          <w:rFonts w:hint="eastAsia" w:ascii="仿宋" w:hAnsi="仿宋" w:eastAsia="仿宋" w:cs="仿宋"/>
          <w:color w:val="000000"/>
          <w:sz w:val="32"/>
          <w:szCs w:val="32"/>
          <w:lang w:val="en-US" w:eastAsia="zh-CN"/>
        </w:rPr>
        <w:t>39.5</w:t>
      </w:r>
      <w:r>
        <w:rPr>
          <w:rFonts w:hint="eastAsia" w:ascii="仿宋" w:hAnsi="仿宋" w:eastAsia="仿宋" w:cs="仿宋"/>
          <w:color w:val="000000"/>
          <w:sz w:val="32"/>
          <w:szCs w:val="32"/>
        </w:rPr>
        <w:t>%，公务接待费</w:t>
      </w:r>
      <w:r>
        <w:rPr>
          <w:rFonts w:hint="eastAsia" w:ascii="仿宋" w:hAnsi="仿宋" w:eastAsia="仿宋" w:cs="仿宋"/>
          <w:color w:val="000000"/>
          <w:sz w:val="32"/>
          <w:szCs w:val="32"/>
          <w:lang w:val="en-US" w:eastAsia="zh-CN"/>
        </w:rPr>
        <w:t>7.7</w:t>
      </w:r>
      <w:r>
        <w:rPr>
          <w:rFonts w:hint="eastAsia" w:ascii="仿宋" w:hAnsi="仿宋" w:eastAsia="仿宋" w:cs="仿宋"/>
          <w:color w:val="000000"/>
          <w:sz w:val="32"/>
          <w:szCs w:val="32"/>
        </w:rPr>
        <w:t>万元，占年初预算的</w:t>
      </w:r>
      <w:r>
        <w:rPr>
          <w:rFonts w:hint="eastAsia" w:ascii="仿宋" w:hAnsi="仿宋" w:eastAsia="仿宋" w:cs="仿宋"/>
          <w:color w:val="000000"/>
          <w:sz w:val="32"/>
          <w:szCs w:val="32"/>
          <w:lang w:val="en-US" w:eastAsia="zh-CN"/>
        </w:rPr>
        <w:t>36.6</w:t>
      </w:r>
      <w:r>
        <w:rPr>
          <w:rFonts w:hint="eastAsia" w:ascii="仿宋" w:hAnsi="仿宋" w:eastAsia="仿宋" w:cs="仿宋"/>
          <w:color w:val="000000"/>
          <w:sz w:val="32"/>
          <w:szCs w:val="32"/>
        </w:rPr>
        <w:t>%。</w:t>
      </w:r>
      <w:r>
        <w:rPr>
          <w:rFonts w:hint="eastAsia" w:ascii="仿宋" w:hAnsi="仿宋" w:eastAsia="仿宋" w:cs="仿宋"/>
          <w:sz w:val="32"/>
          <w:szCs w:val="32"/>
        </w:rPr>
        <w:t>“三公”经费结余</w:t>
      </w:r>
      <w:r>
        <w:rPr>
          <w:rFonts w:hint="eastAsia" w:ascii="仿宋" w:hAnsi="仿宋" w:eastAsia="仿宋" w:cs="仿宋"/>
          <w:sz w:val="32"/>
          <w:szCs w:val="32"/>
          <w:lang w:val="en-US" w:eastAsia="zh-CN"/>
        </w:rPr>
        <w:t>5</w:t>
      </w:r>
      <w:r>
        <w:rPr>
          <w:rFonts w:hint="eastAsia" w:ascii="仿宋" w:hAnsi="仿宋" w:eastAsia="仿宋" w:cs="仿宋"/>
          <w:color w:val="000000"/>
          <w:sz w:val="32"/>
          <w:szCs w:val="32"/>
        </w:rPr>
        <w:t>万元</w:t>
      </w:r>
      <w:r>
        <w:rPr>
          <w:rFonts w:hint="eastAsia" w:ascii="仿宋" w:hAnsi="仿宋" w:eastAsia="仿宋" w:cs="仿宋"/>
          <w:sz w:val="32"/>
          <w:szCs w:val="32"/>
        </w:rPr>
        <w:t>，结余率</w:t>
      </w:r>
      <w:r>
        <w:rPr>
          <w:rFonts w:hint="eastAsia" w:ascii="仿宋" w:hAnsi="仿宋" w:eastAsia="仿宋" w:cs="仿宋"/>
          <w:sz w:val="32"/>
          <w:szCs w:val="32"/>
          <w:lang w:val="en-US" w:eastAsia="zh-CN"/>
        </w:rPr>
        <w:t>23.8</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3、资金管理情况</w:t>
      </w:r>
    </w:p>
    <w:p>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①财务管理坚持厉行节约、勤俭办事的方针，本局收入及支出全部纳入财务统一管理。严格按照财政部门制定的政策，执行“收支两条线”的规定。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②严格遵守预算管理制度，合理编制预算，严格按照批准的预算开支。</w:t>
      </w:r>
    </w:p>
    <w:p>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③严格财务报账程序，国库集中支付核算办理报销事宜。</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④严格执行“三公”经费有关开支规定。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⑤支出严格执行国家有关财务规章制度规定的开支范围及开支标准；单位所有开支均实行审批制度，坚持做到先计划后审批再开支的原则。</w:t>
      </w:r>
    </w:p>
    <w:p>
      <w:pPr>
        <w:widowControl/>
        <w:numPr>
          <w:ilvl w:val="0"/>
          <w:numId w:val="3"/>
        </w:numPr>
        <w:spacing w:line="52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整体支出绩效目标完成情况</w:t>
      </w:r>
    </w:p>
    <w:p>
      <w:pPr>
        <w:ind w:firstLine="640"/>
        <w:rPr>
          <w:rFonts w:hint="eastAsia" w:ascii="仿宋" w:hAnsi="仿宋" w:eastAsia="仿宋" w:cs="仿宋"/>
          <w:b/>
          <w:bCs/>
          <w:sz w:val="30"/>
          <w:szCs w:val="30"/>
          <w:lang w:val="en-US" w:eastAsia="zh-CN"/>
        </w:rPr>
      </w:pPr>
      <w:r>
        <w:rPr>
          <w:rFonts w:hint="eastAsia" w:ascii="仿宋" w:hAnsi="仿宋" w:eastAsia="仿宋" w:cs="仿宋"/>
          <w:b/>
          <w:bCs/>
          <w:sz w:val="30"/>
          <w:szCs w:val="30"/>
        </w:rPr>
        <w:t xml:space="preserve">  </w:t>
      </w:r>
      <w:r>
        <w:rPr>
          <w:rFonts w:hint="eastAsia" w:ascii="仿宋" w:hAnsi="仿宋" w:eastAsia="仿宋" w:cs="仿宋"/>
          <w:kern w:val="1"/>
          <w:sz w:val="32"/>
          <w:szCs w:val="32"/>
        </w:rPr>
        <w:t>20</w:t>
      </w:r>
      <w:r>
        <w:rPr>
          <w:rFonts w:hint="eastAsia" w:ascii="仿宋" w:hAnsi="仿宋" w:eastAsia="仿宋" w:cs="仿宋"/>
          <w:kern w:val="1"/>
          <w:sz w:val="32"/>
          <w:szCs w:val="32"/>
          <w:lang w:val="en-US" w:eastAsia="zh-CN"/>
        </w:rPr>
        <w:t>21</w:t>
      </w:r>
      <w:r>
        <w:rPr>
          <w:rFonts w:hint="eastAsia" w:ascii="仿宋" w:hAnsi="仿宋" w:eastAsia="仿宋" w:cs="仿宋"/>
          <w:kern w:val="1"/>
          <w:sz w:val="32"/>
          <w:szCs w:val="32"/>
        </w:rPr>
        <w:t>年，在县委、县政府的正确领导下，我局认真贯彻落实县委经济工作会议精神，</w:t>
      </w:r>
      <w:r>
        <w:rPr>
          <w:rFonts w:hint="eastAsia" w:ascii="仿宋" w:hAnsi="仿宋" w:eastAsia="仿宋" w:cs="仿宋"/>
          <w:kern w:val="1"/>
          <w:sz w:val="32"/>
          <w:szCs w:val="32"/>
          <w:lang w:eastAsia="zh-CN"/>
        </w:rPr>
        <w:t>单位积极履职，强化管理，较好的完成了年度目标，加强预算收支管理，不断健全内部管理制度，部门整体支出管理水平得以提高，根据部门整体支出绩效评价指标体系，</w:t>
      </w:r>
      <w:r>
        <w:rPr>
          <w:rFonts w:hint="eastAsia" w:ascii="仿宋" w:hAnsi="仿宋" w:eastAsia="仿宋" w:cs="仿宋"/>
          <w:kern w:val="1"/>
          <w:sz w:val="32"/>
          <w:szCs w:val="32"/>
          <w:lang w:val="en-US" w:eastAsia="zh-CN"/>
        </w:rPr>
        <w:t>2021年我单位</w:t>
      </w:r>
      <w:r>
        <w:rPr>
          <w:rFonts w:hint="eastAsia" w:ascii="仿宋" w:hAnsi="仿宋" w:eastAsia="仿宋" w:cs="仿宋"/>
          <w:kern w:val="1"/>
          <w:sz w:val="32"/>
          <w:szCs w:val="32"/>
          <w:lang w:eastAsia="zh-CN"/>
        </w:rPr>
        <w:t>整体支出绩效评价得分</w:t>
      </w:r>
      <w:r>
        <w:rPr>
          <w:rFonts w:hint="eastAsia" w:ascii="仿宋" w:hAnsi="仿宋" w:eastAsia="仿宋" w:cs="仿宋"/>
          <w:kern w:val="1"/>
          <w:sz w:val="32"/>
          <w:szCs w:val="32"/>
          <w:lang w:val="en-US" w:eastAsia="zh-CN"/>
        </w:rPr>
        <w:t>94分，</w:t>
      </w:r>
      <w:r>
        <w:rPr>
          <w:rFonts w:hint="eastAsia" w:ascii="仿宋" w:hAnsi="仿宋" w:eastAsia="仿宋" w:cs="仿宋"/>
          <w:kern w:val="1"/>
          <w:sz w:val="32"/>
          <w:szCs w:val="32"/>
          <w:lang w:eastAsia="zh-CN"/>
        </w:rPr>
        <w:t>部门整体支出绩效为“优”。</w:t>
      </w:r>
    </w:p>
    <w:p>
      <w:pPr>
        <w:pStyle w:val="5"/>
        <w:spacing w:before="0" w:beforeAutospacing="0" w:after="0" w:afterAutospacing="0" w:line="520" w:lineRule="atLeast"/>
        <w:ind w:firstLine="420"/>
        <w:rPr>
          <w:rFonts w:hint="eastAsia" w:ascii="仿宋" w:hAnsi="仿宋" w:eastAsia="仿宋" w:cs="仿宋"/>
          <w:b/>
          <w:color w:val="000000"/>
          <w:sz w:val="32"/>
          <w:szCs w:val="32"/>
        </w:rPr>
      </w:pPr>
      <w:r>
        <w:rPr>
          <w:rFonts w:hint="eastAsia" w:ascii="仿宋" w:hAnsi="仿宋" w:eastAsia="仿宋" w:cs="仿宋"/>
          <w:b/>
          <w:color w:val="000000"/>
          <w:sz w:val="32"/>
          <w:szCs w:val="32"/>
        </w:rPr>
        <w:t>五：存在的问题</w:t>
      </w:r>
    </w:p>
    <w:p>
      <w:pPr>
        <w:pStyle w:val="5"/>
        <w:spacing w:before="0" w:beforeAutospacing="0" w:after="0" w:afterAutospacing="0" w:line="520" w:lineRule="atLeast"/>
        <w:ind w:firstLine="420"/>
        <w:rPr>
          <w:rFonts w:hint="eastAsia" w:ascii="仿宋" w:hAnsi="仿宋" w:eastAsia="仿宋" w:cs="仿宋"/>
          <w:kern w:val="1"/>
          <w:sz w:val="32"/>
          <w:szCs w:val="32"/>
          <w:lang w:eastAsia="zh-CN"/>
        </w:rPr>
      </w:pPr>
      <w:r>
        <w:rPr>
          <w:rFonts w:hint="eastAsia" w:ascii="仿宋" w:hAnsi="仿宋" w:eastAsia="仿宋" w:cs="仿宋"/>
          <w:b/>
          <w:color w:val="000000"/>
          <w:sz w:val="32"/>
          <w:szCs w:val="32"/>
          <w:lang w:val="en-US" w:eastAsia="zh-CN"/>
        </w:rPr>
        <w:t xml:space="preserve">   </w:t>
      </w:r>
      <w:r>
        <w:rPr>
          <w:rFonts w:hint="eastAsia" w:ascii="宋体" w:hAnsi="宋体" w:eastAsia="宋体" w:cs="宋体"/>
          <w:b w:val="0"/>
          <w:bCs/>
          <w:i w:val="0"/>
          <w:iCs w:val="0"/>
          <w:color w:val="000000"/>
          <w:sz w:val="32"/>
          <w:szCs w:val="32"/>
          <w:lang w:val="en-US" w:eastAsia="zh-CN"/>
        </w:rPr>
        <w:t>对照</w:t>
      </w:r>
      <w:r>
        <w:rPr>
          <w:rFonts w:hint="eastAsia" w:ascii="仿宋" w:hAnsi="仿宋" w:eastAsia="仿宋" w:cs="仿宋"/>
          <w:kern w:val="1"/>
          <w:sz w:val="32"/>
          <w:szCs w:val="32"/>
          <w:lang w:eastAsia="zh-CN"/>
        </w:rPr>
        <w:t>部门整体支出绩效评价指标标准和我单位自评得分，反映出在整体支出的预算编制、执行和管理过程中，存在一些问题和不足。</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1、年初预算编制前瞩性偏低，造成预算执行偏低</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2、财政预算资金安排不及时影响绩效目标完成质量；</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3、内部管理制度在实际执行过程中欠细化。</w:t>
      </w:r>
    </w:p>
    <w:p>
      <w:pPr>
        <w:spacing w:line="580" w:lineRule="exact"/>
        <w:contextualSpacing/>
        <w:rPr>
          <w:rFonts w:hint="eastAsia" w:ascii="仿宋" w:hAnsi="仿宋" w:eastAsia="仿宋" w:cs="仿宋"/>
          <w:color w:val="000000"/>
          <w:sz w:val="32"/>
          <w:szCs w:val="32"/>
        </w:rPr>
      </w:pPr>
    </w:p>
    <w:p>
      <w:pPr>
        <w:spacing w:line="580" w:lineRule="exact"/>
        <w:contextualSpacing/>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六、改进措施和有关建议</w:t>
      </w:r>
    </w:p>
    <w:p>
      <w:pPr>
        <w:spacing w:line="580" w:lineRule="exact"/>
        <w:ind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rPr>
        <w:t>1、进一步加强内部机构的预算管理意识，严格按照预算编制的相</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关制度和要求，合理科学的编制预算，进一步提高预算编制的前瞩性、合理性、严谨性和可控性。</w:t>
      </w:r>
    </w:p>
    <w:p>
      <w:pPr>
        <w:pStyle w:val="5"/>
        <w:spacing w:before="0" w:beforeAutospacing="0" w:after="0" w:afterAutospacing="0" w:line="520" w:lineRule="atLeast"/>
        <w:ind w:firstLine="420"/>
        <w:rPr>
          <w:rFonts w:hint="eastAsia" w:ascii="仿宋" w:hAnsi="仿宋" w:eastAsia="仿宋" w:cs="仿宋"/>
          <w:kern w:val="1"/>
          <w:sz w:val="32"/>
          <w:szCs w:val="32"/>
          <w:lang w:val="en-US" w:eastAsia="zh-CN"/>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、加强对财务人员的业务指导及培训，让财务管理工作</w:t>
      </w:r>
      <w:r>
        <w:rPr>
          <w:rFonts w:hint="eastAsia" w:ascii="仿宋" w:hAnsi="仿宋" w:eastAsia="仿宋" w:cs="仿宋"/>
          <w:color w:val="000000"/>
          <w:sz w:val="32"/>
          <w:szCs w:val="32"/>
          <w:lang w:eastAsia="zh-CN"/>
        </w:rPr>
        <w:t>不断</w:t>
      </w:r>
      <w:r>
        <w:rPr>
          <w:rFonts w:hint="eastAsia" w:ascii="仿宋" w:hAnsi="仿宋" w:eastAsia="仿宋" w:cs="仿宋"/>
          <w:color w:val="000000"/>
          <w:sz w:val="32"/>
          <w:szCs w:val="32"/>
        </w:rPr>
        <w:t>精</w:t>
      </w:r>
      <w:r>
        <w:rPr>
          <w:rFonts w:hint="eastAsia" w:ascii="仿宋" w:hAnsi="仿宋" w:eastAsia="仿宋" w:cs="仿宋"/>
          <w:color w:val="000000"/>
          <w:sz w:val="32"/>
          <w:szCs w:val="32"/>
          <w:lang w:eastAsia="zh-CN"/>
        </w:rPr>
        <w:t>细。</w:t>
      </w:r>
    </w:p>
    <w:p>
      <w:pPr>
        <w:spacing w:line="520" w:lineRule="exact"/>
        <w:rPr>
          <w:rFonts w:hint="eastAsia" w:ascii="仿宋" w:hAnsi="仿宋" w:eastAsia="仿宋" w:cs="仿宋"/>
          <w:b/>
          <w:bCs/>
          <w:sz w:val="28"/>
          <w:szCs w:val="28"/>
        </w:rPr>
      </w:pPr>
    </w:p>
    <w:p>
      <w:pPr>
        <w:spacing w:line="520" w:lineRule="exact"/>
        <w:rPr>
          <w:rFonts w:hint="eastAsia" w:ascii="仿宋" w:hAnsi="仿宋" w:eastAsia="仿宋" w:cs="仿宋"/>
          <w:b/>
          <w:bCs/>
          <w:sz w:val="28"/>
          <w:szCs w:val="28"/>
        </w:rPr>
      </w:pPr>
    </w:p>
    <w:p>
      <w:pPr>
        <w:spacing w:line="520" w:lineRule="exact"/>
        <w:ind w:firstLine="4800" w:firstLineChars="1500"/>
        <w:rPr>
          <w:rFonts w:hint="eastAsia" w:ascii="仿宋" w:hAnsi="仿宋" w:eastAsia="仿宋" w:cs="仿宋"/>
          <w:sz w:val="32"/>
          <w:szCs w:val="32"/>
          <w:lang w:eastAsia="zh-CN"/>
        </w:rPr>
      </w:pPr>
      <w:r>
        <w:rPr>
          <w:rFonts w:hint="eastAsia" w:ascii="仿宋" w:hAnsi="仿宋" w:eastAsia="仿宋" w:cs="仿宋"/>
          <w:sz w:val="32"/>
          <w:szCs w:val="32"/>
        </w:rPr>
        <w:t>麻阳苗族自治县</w:t>
      </w:r>
      <w:r>
        <w:rPr>
          <w:rFonts w:hint="eastAsia" w:ascii="仿宋" w:hAnsi="仿宋" w:eastAsia="仿宋" w:cs="仿宋"/>
          <w:sz w:val="32"/>
          <w:szCs w:val="32"/>
          <w:lang w:eastAsia="zh-CN"/>
        </w:rPr>
        <w:t>教育局</w:t>
      </w:r>
    </w:p>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spacing w:line="520" w:lineRule="exact"/>
        <w:jc w:val="center"/>
        <w:rPr>
          <w:rFonts w:hint="eastAsia" w:ascii="仿宋" w:hAnsi="仿宋" w:eastAsia="仿宋" w:cs="仿宋"/>
          <w:sz w:val="32"/>
          <w:szCs w:val="32"/>
        </w:rPr>
      </w:pPr>
    </w:p>
    <w:p>
      <w:pPr>
        <w:rPr>
          <w:rFonts w:hint="eastAsia" w:ascii="仿宋" w:hAnsi="仿宋" w:eastAsia="仿宋" w:cs="仿宋"/>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61B63"/>
    <w:multiLevelType w:val="singleLevel"/>
    <w:tmpl w:val="F3461B63"/>
    <w:lvl w:ilvl="0" w:tentative="0">
      <w:start w:val="1"/>
      <w:numFmt w:val="chineseCounting"/>
      <w:suff w:val="nothing"/>
      <w:lvlText w:val="%1、"/>
      <w:lvlJc w:val="left"/>
      <w:pPr>
        <w:ind w:left="709" w:firstLine="0"/>
      </w:pPr>
      <w:rPr>
        <w:rFonts w:hint="eastAsia"/>
      </w:rPr>
    </w:lvl>
  </w:abstractNum>
  <w:abstractNum w:abstractNumId="1">
    <w:nsid w:val="FF5E1644"/>
    <w:multiLevelType w:val="singleLevel"/>
    <w:tmpl w:val="FF5E1644"/>
    <w:lvl w:ilvl="0" w:tentative="0">
      <w:start w:val="1"/>
      <w:numFmt w:val="decimal"/>
      <w:suff w:val="nothing"/>
      <w:lvlText w:val="（%1）"/>
      <w:lvlJc w:val="left"/>
    </w:lvl>
  </w:abstractNum>
  <w:abstractNum w:abstractNumId="2">
    <w:nsid w:val="11975408"/>
    <w:multiLevelType w:val="singleLevel"/>
    <w:tmpl w:val="11975408"/>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WRiMWNlMjA0NTZlM2UyNDA1OTIwOGJlMzFiMDUifQ=="/>
  </w:docVars>
  <w:rsids>
    <w:rsidRoot w:val="00A20D0D"/>
    <w:rsid w:val="000150AF"/>
    <w:rsid w:val="00042CEA"/>
    <w:rsid w:val="00067206"/>
    <w:rsid w:val="000B5D02"/>
    <w:rsid w:val="000E1AAB"/>
    <w:rsid w:val="001C51BB"/>
    <w:rsid w:val="00253DD9"/>
    <w:rsid w:val="0028529A"/>
    <w:rsid w:val="00297D11"/>
    <w:rsid w:val="0031097E"/>
    <w:rsid w:val="0034238E"/>
    <w:rsid w:val="00344E87"/>
    <w:rsid w:val="0036165A"/>
    <w:rsid w:val="00364A66"/>
    <w:rsid w:val="00465040"/>
    <w:rsid w:val="00472D96"/>
    <w:rsid w:val="00482F1C"/>
    <w:rsid w:val="00497AD0"/>
    <w:rsid w:val="004F11B7"/>
    <w:rsid w:val="00506D94"/>
    <w:rsid w:val="0052382E"/>
    <w:rsid w:val="00543193"/>
    <w:rsid w:val="006518D9"/>
    <w:rsid w:val="006529C0"/>
    <w:rsid w:val="00654261"/>
    <w:rsid w:val="0066245D"/>
    <w:rsid w:val="006A0B6F"/>
    <w:rsid w:val="006B1334"/>
    <w:rsid w:val="006B2BD8"/>
    <w:rsid w:val="006D2509"/>
    <w:rsid w:val="00723569"/>
    <w:rsid w:val="0076017A"/>
    <w:rsid w:val="007B5E52"/>
    <w:rsid w:val="007D2BBA"/>
    <w:rsid w:val="007E042D"/>
    <w:rsid w:val="00803C15"/>
    <w:rsid w:val="00851F07"/>
    <w:rsid w:val="00856164"/>
    <w:rsid w:val="0086698E"/>
    <w:rsid w:val="00916B72"/>
    <w:rsid w:val="00921E9A"/>
    <w:rsid w:val="009C49C2"/>
    <w:rsid w:val="009F28DD"/>
    <w:rsid w:val="009F66EC"/>
    <w:rsid w:val="00A20D0D"/>
    <w:rsid w:val="00A36304"/>
    <w:rsid w:val="00A65993"/>
    <w:rsid w:val="00A77FCA"/>
    <w:rsid w:val="00A8538B"/>
    <w:rsid w:val="00AD5008"/>
    <w:rsid w:val="00B30471"/>
    <w:rsid w:val="00B40C14"/>
    <w:rsid w:val="00BA1A63"/>
    <w:rsid w:val="00BC7843"/>
    <w:rsid w:val="00BD0379"/>
    <w:rsid w:val="00BD25AF"/>
    <w:rsid w:val="00BF35BC"/>
    <w:rsid w:val="00C111E8"/>
    <w:rsid w:val="00C13B3D"/>
    <w:rsid w:val="00C45F58"/>
    <w:rsid w:val="00C934C0"/>
    <w:rsid w:val="00CD6473"/>
    <w:rsid w:val="00CF4E58"/>
    <w:rsid w:val="00D1712E"/>
    <w:rsid w:val="00D63BD2"/>
    <w:rsid w:val="00D7423C"/>
    <w:rsid w:val="00DA6441"/>
    <w:rsid w:val="00DB07D3"/>
    <w:rsid w:val="00DC6BEE"/>
    <w:rsid w:val="00DF1FDA"/>
    <w:rsid w:val="00DF246C"/>
    <w:rsid w:val="00E20493"/>
    <w:rsid w:val="00E742DB"/>
    <w:rsid w:val="00EA6D89"/>
    <w:rsid w:val="00F01A6A"/>
    <w:rsid w:val="00F52150"/>
    <w:rsid w:val="00F653DA"/>
    <w:rsid w:val="00F73A31"/>
    <w:rsid w:val="00FA7F59"/>
    <w:rsid w:val="00FC7E28"/>
    <w:rsid w:val="00FE5042"/>
    <w:rsid w:val="00FE54EA"/>
    <w:rsid w:val="01D610A9"/>
    <w:rsid w:val="025758E2"/>
    <w:rsid w:val="025C5DEE"/>
    <w:rsid w:val="02A50AD1"/>
    <w:rsid w:val="03430ABA"/>
    <w:rsid w:val="03440442"/>
    <w:rsid w:val="04FD27E8"/>
    <w:rsid w:val="051A7E0A"/>
    <w:rsid w:val="052F50D9"/>
    <w:rsid w:val="0581101A"/>
    <w:rsid w:val="0588499A"/>
    <w:rsid w:val="05C93C36"/>
    <w:rsid w:val="05E54FCE"/>
    <w:rsid w:val="062243FE"/>
    <w:rsid w:val="08512608"/>
    <w:rsid w:val="08655196"/>
    <w:rsid w:val="08C46AED"/>
    <w:rsid w:val="0A1A2F1B"/>
    <w:rsid w:val="0A9F0932"/>
    <w:rsid w:val="0ABA50BC"/>
    <w:rsid w:val="0DBD6DA7"/>
    <w:rsid w:val="0DFC1139"/>
    <w:rsid w:val="0E1E06A7"/>
    <w:rsid w:val="0E8162FC"/>
    <w:rsid w:val="0EA737B2"/>
    <w:rsid w:val="0EB3241A"/>
    <w:rsid w:val="0EDC3D89"/>
    <w:rsid w:val="0F3036BB"/>
    <w:rsid w:val="0FC62B0B"/>
    <w:rsid w:val="104021D9"/>
    <w:rsid w:val="108155C1"/>
    <w:rsid w:val="10D4716A"/>
    <w:rsid w:val="117250F0"/>
    <w:rsid w:val="118F0C34"/>
    <w:rsid w:val="120155AE"/>
    <w:rsid w:val="12F24E3E"/>
    <w:rsid w:val="134358DA"/>
    <w:rsid w:val="134770B1"/>
    <w:rsid w:val="13571E2E"/>
    <w:rsid w:val="13A604FB"/>
    <w:rsid w:val="13D4500B"/>
    <w:rsid w:val="13F549DA"/>
    <w:rsid w:val="13F6628B"/>
    <w:rsid w:val="144866E4"/>
    <w:rsid w:val="14515DD5"/>
    <w:rsid w:val="146C299C"/>
    <w:rsid w:val="14864F0B"/>
    <w:rsid w:val="14952E5B"/>
    <w:rsid w:val="153D1AE3"/>
    <w:rsid w:val="154A62AD"/>
    <w:rsid w:val="15524F1D"/>
    <w:rsid w:val="165F7CEC"/>
    <w:rsid w:val="1731623F"/>
    <w:rsid w:val="18767516"/>
    <w:rsid w:val="18845DF7"/>
    <w:rsid w:val="18AB1F57"/>
    <w:rsid w:val="19144E34"/>
    <w:rsid w:val="19EA6EDF"/>
    <w:rsid w:val="19ED1558"/>
    <w:rsid w:val="1AB9532D"/>
    <w:rsid w:val="1B7C10DB"/>
    <w:rsid w:val="1B846B99"/>
    <w:rsid w:val="1BC4280F"/>
    <w:rsid w:val="1BC6388F"/>
    <w:rsid w:val="1C0A39BF"/>
    <w:rsid w:val="1C594F00"/>
    <w:rsid w:val="1CCD326D"/>
    <w:rsid w:val="1D1659A3"/>
    <w:rsid w:val="1D73219E"/>
    <w:rsid w:val="1DD15A38"/>
    <w:rsid w:val="1E504461"/>
    <w:rsid w:val="1E81066A"/>
    <w:rsid w:val="1ED97B45"/>
    <w:rsid w:val="1F270C70"/>
    <w:rsid w:val="2086407C"/>
    <w:rsid w:val="20AD11BA"/>
    <w:rsid w:val="214B4BC3"/>
    <w:rsid w:val="21737F9B"/>
    <w:rsid w:val="227E53EA"/>
    <w:rsid w:val="22CF51EA"/>
    <w:rsid w:val="2395198E"/>
    <w:rsid w:val="23B7501B"/>
    <w:rsid w:val="23D12DB5"/>
    <w:rsid w:val="23ED699C"/>
    <w:rsid w:val="2409337B"/>
    <w:rsid w:val="240C4B60"/>
    <w:rsid w:val="241B7E99"/>
    <w:rsid w:val="24945D36"/>
    <w:rsid w:val="24BF1716"/>
    <w:rsid w:val="250D0318"/>
    <w:rsid w:val="25526699"/>
    <w:rsid w:val="255C53AF"/>
    <w:rsid w:val="259A1E8B"/>
    <w:rsid w:val="26BE4BB8"/>
    <w:rsid w:val="2776664F"/>
    <w:rsid w:val="27E81F7D"/>
    <w:rsid w:val="2828115C"/>
    <w:rsid w:val="28BB4D9A"/>
    <w:rsid w:val="28D15337"/>
    <w:rsid w:val="29270663"/>
    <w:rsid w:val="293528E1"/>
    <w:rsid w:val="295B26F5"/>
    <w:rsid w:val="29E97E5B"/>
    <w:rsid w:val="29F77528"/>
    <w:rsid w:val="2A514B36"/>
    <w:rsid w:val="2A767C7E"/>
    <w:rsid w:val="2A9B4409"/>
    <w:rsid w:val="2AFE4BD4"/>
    <w:rsid w:val="2B2D26B8"/>
    <w:rsid w:val="2B475657"/>
    <w:rsid w:val="2C2D2CA0"/>
    <w:rsid w:val="2C361B74"/>
    <w:rsid w:val="2C6A039F"/>
    <w:rsid w:val="2CCA6239"/>
    <w:rsid w:val="2CF03F85"/>
    <w:rsid w:val="2D121E59"/>
    <w:rsid w:val="2D300909"/>
    <w:rsid w:val="2D563870"/>
    <w:rsid w:val="2E277E7A"/>
    <w:rsid w:val="2E883474"/>
    <w:rsid w:val="2FC037D3"/>
    <w:rsid w:val="2FC703AF"/>
    <w:rsid w:val="3086577F"/>
    <w:rsid w:val="30E917F2"/>
    <w:rsid w:val="31446FFF"/>
    <w:rsid w:val="316826F9"/>
    <w:rsid w:val="32CD081E"/>
    <w:rsid w:val="34916A44"/>
    <w:rsid w:val="34B65B8B"/>
    <w:rsid w:val="34EC0142"/>
    <w:rsid w:val="34F5777F"/>
    <w:rsid w:val="35131158"/>
    <w:rsid w:val="363F563E"/>
    <w:rsid w:val="369A7EA1"/>
    <w:rsid w:val="371D7FA9"/>
    <w:rsid w:val="37257B37"/>
    <w:rsid w:val="37E81FCC"/>
    <w:rsid w:val="38092E13"/>
    <w:rsid w:val="381F6CA1"/>
    <w:rsid w:val="38473559"/>
    <w:rsid w:val="38754AA8"/>
    <w:rsid w:val="38DE4A25"/>
    <w:rsid w:val="39123A3B"/>
    <w:rsid w:val="39A01EF2"/>
    <w:rsid w:val="3A791D8C"/>
    <w:rsid w:val="3B5A0B33"/>
    <w:rsid w:val="3B8933A3"/>
    <w:rsid w:val="3C395C37"/>
    <w:rsid w:val="3C4F7526"/>
    <w:rsid w:val="3C717079"/>
    <w:rsid w:val="3C7E42BF"/>
    <w:rsid w:val="3CA11F03"/>
    <w:rsid w:val="3D153845"/>
    <w:rsid w:val="3D6370CC"/>
    <w:rsid w:val="3DCD7A0D"/>
    <w:rsid w:val="3E15714A"/>
    <w:rsid w:val="3E9F00BC"/>
    <w:rsid w:val="3ED54888"/>
    <w:rsid w:val="3F2004D3"/>
    <w:rsid w:val="3F3A3EF5"/>
    <w:rsid w:val="3F7B1F91"/>
    <w:rsid w:val="404B7D94"/>
    <w:rsid w:val="409D5C06"/>
    <w:rsid w:val="4248285A"/>
    <w:rsid w:val="425F71F3"/>
    <w:rsid w:val="4302047E"/>
    <w:rsid w:val="432F0F1E"/>
    <w:rsid w:val="435C0EAF"/>
    <w:rsid w:val="43DB18B1"/>
    <w:rsid w:val="449C3F71"/>
    <w:rsid w:val="44B34E3D"/>
    <w:rsid w:val="458A505F"/>
    <w:rsid w:val="45B2285B"/>
    <w:rsid w:val="45D46CA9"/>
    <w:rsid w:val="45E873F9"/>
    <w:rsid w:val="46003DE9"/>
    <w:rsid w:val="465A4273"/>
    <w:rsid w:val="46F02761"/>
    <w:rsid w:val="47C0202D"/>
    <w:rsid w:val="48600925"/>
    <w:rsid w:val="494949E6"/>
    <w:rsid w:val="497769CB"/>
    <w:rsid w:val="49B7582C"/>
    <w:rsid w:val="4A596B16"/>
    <w:rsid w:val="4AB076A1"/>
    <w:rsid w:val="4B2C749A"/>
    <w:rsid w:val="4B2E409F"/>
    <w:rsid w:val="4C8F50FD"/>
    <w:rsid w:val="4C994A2C"/>
    <w:rsid w:val="4CD64BB6"/>
    <w:rsid w:val="4D1244ED"/>
    <w:rsid w:val="4D717953"/>
    <w:rsid w:val="4DE77A16"/>
    <w:rsid w:val="4E8E14E1"/>
    <w:rsid w:val="4E9055AE"/>
    <w:rsid w:val="4EA54EDB"/>
    <w:rsid w:val="4F30546A"/>
    <w:rsid w:val="4F48763C"/>
    <w:rsid w:val="4F577BDE"/>
    <w:rsid w:val="4FB4138E"/>
    <w:rsid w:val="4FD308DB"/>
    <w:rsid w:val="509955DB"/>
    <w:rsid w:val="50B25BE8"/>
    <w:rsid w:val="50DE2137"/>
    <w:rsid w:val="50F674D5"/>
    <w:rsid w:val="51211776"/>
    <w:rsid w:val="51541F33"/>
    <w:rsid w:val="5167039E"/>
    <w:rsid w:val="517C0A52"/>
    <w:rsid w:val="52222835"/>
    <w:rsid w:val="523F74CE"/>
    <w:rsid w:val="52DF0ED5"/>
    <w:rsid w:val="52F31349"/>
    <w:rsid w:val="54704B4C"/>
    <w:rsid w:val="54E02D83"/>
    <w:rsid w:val="551F0500"/>
    <w:rsid w:val="564C63B7"/>
    <w:rsid w:val="565760FA"/>
    <w:rsid w:val="566B1748"/>
    <w:rsid w:val="56A45C5C"/>
    <w:rsid w:val="56D27DCA"/>
    <w:rsid w:val="56EF33EF"/>
    <w:rsid w:val="58B714A9"/>
    <w:rsid w:val="58D10056"/>
    <w:rsid w:val="59290CF4"/>
    <w:rsid w:val="59783969"/>
    <w:rsid w:val="59A56B86"/>
    <w:rsid w:val="5A111F6B"/>
    <w:rsid w:val="5A8F628B"/>
    <w:rsid w:val="5AF010C8"/>
    <w:rsid w:val="5AF444C1"/>
    <w:rsid w:val="5BF278F8"/>
    <w:rsid w:val="5C453BE5"/>
    <w:rsid w:val="5C947833"/>
    <w:rsid w:val="5C9F3EF6"/>
    <w:rsid w:val="5CA47399"/>
    <w:rsid w:val="5DBD51B4"/>
    <w:rsid w:val="5DF35E7C"/>
    <w:rsid w:val="5E336159"/>
    <w:rsid w:val="5E37033A"/>
    <w:rsid w:val="5E4C4E4D"/>
    <w:rsid w:val="5EB555D5"/>
    <w:rsid w:val="5EDC0DBF"/>
    <w:rsid w:val="5EFC7BA7"/>
    <w:rsid w:val="5F8B5C9C"/>
    <w:rsid w:val="60662F6E"/>
    <w:rsid w:val="609D2FAE"/>
    <w:rsid w:val="60A53898"/>
    <w:rsid w:val="60BA3632"/>
    <w:rsid w:val="60CC028A"/>
    <w:rsid w:val="62580269"/>
    <w:rsid w:val="62646217"/>
    <w:rsid w:val="6284587A"/>
    <w:rsid w:val="629E74F4"/>
    <w:rsid w:val="63B657BC"/>
    <w:rsid w:val="63EA635F"/>
    <w:rsid w:val="63EC7732"/>
    <w:rsid w:val="64724BDA"/>
    <w:rsid w:val="650B4C91"/>
    <w:rsid w:val="654462D0"/>
    <w:rsid w:val="66011A80"/>
    <w:rsid w:val="660F138C"/>
    <w:rsid w:val="663D54B0"/>
    <w:rsid w:val="666077A4"/>
    <w:rsid w:val="66666D3D"/>
    <w:rsid w:val="66D555DF"/>
    <w:rsid w:val="670619B7"/>
    <w:rsid w:val="67CC62FA"/>
    <w:rsid w:val="68527224"/>
    <w:rsid w:val="688B3AE9"/>
    <w:rsid w:val="68B37AC2"/>
    <w:rsid w:val="695E1CB9"/>
    <w:rsid w:val="6A3B1FCA"/>
    <w:rsid w:val="6A7C1085"/>
    <w:rsid w:val="6A7D1463"/>
    <w:rsid w:val="6AD91CF7"/>
    <w:rsid w:val="6B2F5A38"/>
    <w:rsid w:val="6B641A92"/>
    <w:rsid w:val="6B8913D7"/>
    <w:rsid w:val="6BB0705F"/>
    <w:rsid w:val="6BCF0F44"/>
    <w:rsid w:val="6C7F406D"/>
    <w:rsid w:val="6CAD1D1B"/>
    <w:rsid w:val="6CAE416D"/>
    <w:rsid w:val="6D4E1229"/>
    <w:rsid w:val="6D6953C1"/>
    <w:rsid w:val="6D7538AE"/>
    <w:rsid w:val="6E1D7CF3"/>
    <w:rsid w:val="6E4311C8"/>
    <w:rsid w:val="6EA50F15"/>
    <w:rsid w:val="6EDF2AE6"/>
    <w:rsid w:val="6FB37ACE"/>
    <w:rsid w:val="705F62A6"/>
    <w:rsid w:val="70784AD4"/>
    <w:rsid w:val="70A2003C"/>
    <w:rsid w:val="70EE34BD"/>
    <w:rsid w:val="7116174F"/>
    <w:rsid w:val="720206FA"/>
    <w:rsid w:val="72080B51"/>
    <w:rsid w:val="725D2EC1"/>
    <w:rsid w:val="7263255A"/>
    <w:rsid w:val="72D11849"/>
    <w:rsid w:val="72F003F9"/>
    <w:rsid w:val="741540C6"/>
    <w:rsid w:val="749264E4"/>
    <w:rsid w:val="74BF0129"/>
    <w:rsid w:val="74F167B1"/>
    <w:rsid w:val="756F0B07"/>
    <w:rsid w:val="761021A4"/>
    <w:rsid w:val="76171BBB"/>
    <w:rsid w:val="762D615D"/>
    <w:rsid w:val="765C609A"/>
    <w:rsid w:val="780E5095"/>
    <w:rsid w:val="784F733E"/>
    <w:rsid w:val="7864058C"/>
    <w:rsid w:val="78CA41A9"/>
    <w:rsid w:val="79086F22"/>
    <w:rsid w:val="793E2C88"/>
    <w:rsid w:val="79701E0E"/>
    <w:rsid w:val="79920CCE"/>
    <w:rsid w:val="79A36A0D"/>
    <w:rsid w:val="7A49668F"/>
    <w:rsid w:val="7A610EB6"/>
    <w:rsid w:val="7AC86811"/>
    <w:rsid w:val="7AFD1CA6"/>
    <w:rsid w:val="7B262B55"/>
    <w:rsid w:val="7B446143"/>
    <w:rsid w:val="7B7C578D"/>
    <w:rsid w:val="7B8A4150"/>
    <w:rsid w:val="7C0D5A53"/>
    <w:rsid w:val="7CF84EC8"/>
    <w:rsid w:val="7D8331F9"/>
    <w:rsid w:val="7EC4450C"/>
    <w:rsid w:val="7F197C83"/>
    <w:rsid w:val="7F942585"/>
    <w:rsid w:val="7FE27047"/>
    <w:rsid w:val="7FED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rFonts w:cs="黑体"/>
      <w:kern w:val="2"/>
      <w:sz w:val="18"/>
      <w:szCs w:val="18"/>
    </w:rPr>
  </w:style>
  <w:style w:type="character" w:customStyle="1" w:styleId="9">
    <w:name w:val="页脚 Char"/>
    <w:basedOn w:val="7"/>
    <w:link w:val="3"/>
    <w:qFormat/>
    <w:uiPriority w:val="0"/>
    <w:rPr>
      <w:rFonts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0BE24F-8AB7-43B9-BC5B-59398AF510E3}">
  <ds:schemaRefs/>
</ds:datastoreItem>
</file>

<file path=docProps/app.xml><?xml version="1.0" encoding="utf-8"?>
<Properties xmlns="http://schemas.openxmlformats.org/officeDocument/2006/extended-properties" xmlns:vt="http://schemas.openxmlformats.org/officeDocument/2006/docPropsVTypes">
  <Template>Normal</Template>
  <Pages>11</Pages>
  <Words>5924</Words>
  <Characters>6358</Characters>
  <Lines>32</Lines>
  <Paragraphs>9</Paragraphs>
  <TotalTime>86</TotalTime>
  <ScaleCrop>false</ScaleCrop>
  <LinksUpToDate>false</LinksUpToDate>
  <CharactersWithSpaces>6863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2019-11-26T03:13:00Z</dcterms:created>
  <dc:creator>Administrator</dc:creator>
  <cp:lastModifiedBy>Administrator</cp:lastModifiedBy>
  <cp:lastPrinted>2022-05-24T01:46:00Z</cp:lastPrinted>
  <dcterms:modified xsi:type="dcterms:W3CDTF">2022-06-27T03:57:48Z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335AD18490A246DEB8492D8750B0F7FD</vt:lpwstr>
  </property>
</Properties>
</file>