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8"/>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0</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8"/>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49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59</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120%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5.39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 xml:space="preserve">  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 xml:space="preserve">  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5.39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0.6</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 xml:space="preserve">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Calibri" w:eastAsia="仿宋" w:cs="Arial"/>
                <w:kern w:val="2"/>
                <w:sz w:val="24"/>
                <w:szCs w:val="32"/>
                <w:lang w:val="en-US" w:eastAsia="zh-CN" w:bidi="ar-SA"/>
              </w:rPr>
            </w:pPr>
            <w:r>
              <w:rPr>
                <w:rFonts w:hint="eastAsia" w:ascii="仿宋" w:eastAsia="仿宋"/>
                <w:sz w:val="24"/>
                <w:lang w:val="en-US" w:eastAsia="zh-CN"/>
              </w:rPr>
              <w:t>75.74</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95.69</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120.01</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s="Arial"/>
                <w:color w:val="FF0000"/>
                <w:kern w:val="2"/>
                <w:sz w:val="24"/>
                <w:szCs w:val="32"/>
                <w:lang w:val="en-US" w:eastAsia="zh-CN" w:bidi="ar-SA"/>
              </w:rPr>
              <w:t>26.95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12.87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olor w:val="FF0000"/>
                <w:sz w:val="24"/>
                <w:lang w:val="en-US" w:eastAsia="zh-CN"/>
              </w:rPr>
              <w:t>12.53</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12.36</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s="Arial"/>
                <w:color w:val="FF0000"/>
                <w:kern w:val="2"/>
                <w:sz w:val="24"/>
                <w:szCs w:val="32"/>
                <w:lang w:val="en-US" w:eastAsia="zh-CN" w:bidi="ar-SA"/>
              </w:rPr>
              <w:t>0.07</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8"/>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hint="eastAsia" w:ascii="仿宋" w:eastAsia="仿宋" w:cs="Arial"/>
                <w:sz w:val="24"/>
                <w:szCs w:val="24"/>
                <w:lang w:val="en-US" w:eastAsia="zh-CN"/>
              </w:rPr>
            </w:pPr>
            <w:r>
              <w:rPr>
                <w:rFonts w:hint="eastAsia" w:ascii="仿宋" w:eastAsia="仿宋" w:cs="Arial"/>
                <w:sz w:val="24"/>
                <w:szCs w:val="24"/>
                <w:lang w:val="en-US" w:eastAsia="zh-CN"/>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jc w:val="center"/>
              <w:rPr>
                <w:rFonts w:hint="default" w:ascii="仿宋" w:eastAsia="仿宋" w:cs="Arial"/>
                <w:sz w:val="24"/>
                <w:szCs w:val="24"/>
                <w:lang w:val="en-US" w:eastAsia="zh-CN"/>
              </w:rPr>
            </w:pPr>
            <w:r>
              <w:rPr>
                <w:rFonts w:hint="eastAsia" w:ascii="仿宋" w:eastAsia="仿宋" w:cs="Arial"/>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hint="eastAsia" w:ascii="仿宋" w:eastAsia="仿宋" w:cs="Arial"/>
                <w:sz w:val="24"/>
                <w:szCs w:val="24"/>
                <w:lang w:val="en-US" w:eastAsia="zh-CN"/>
              </w:rPr>
            </w:pPr>
          </w:p>
        </w:tc>
        <w:tc>
          <w:tcPr>
            <w:tcW w:w="618" w:type="dxa"/>
            <w:tcBorders>
              <w:left w:val="single" w:color="000000" w:sz="4" w:space="0"/>
              <w:bottom w:val="single" w:color="000000" w:sz="4" w:space="0"/>
              <w:right w:val="single" w:color="000000" w:sz="4" w:space="0"/>
            </w:tcBorders>
            <w:vAlign w:val="center"/>
          </w:tcPr>
          <w:p>
            <w:pPr>
              <w:widowControl/>
              <w:jc w:val="center"/>
              <w:rPr>
                <w:rFonts w:hint="default" w:ascii="仿宋" w:eastAsia="仿宋" w:cs="Arial"/>
                <w:sz w:val="24"/>
                <w:szCs w:val="24"/>
                <w:lang w:val="en-US" w:eastAsia="zh-CN"/>
              </w:rPr>
            </w:pPr>
            <w:r>
              <w:rPr>
                <w:rFonts w:hint="eastAsia" w:ascii="仿宋" w:eastAsia="仿宋" w:cs="Arial"/>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default" w:eastAsia="仿宋_GB2312"/>
                <w:sz w:val="24"/>
                <w:szCs w:val="24"/>
                <w:lang w:val="en-US" w:eastAsia="zh-CN"/>
              </w:rPr>
            </w:pPr>
            <w:r>
              <w:rPr>
                <w:rFonts w:hint="eastAsia"/>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default" w:eastAsia="仿宋_GB2312"/>
                <w:sz w:val="24"/>
                <w:szCs w:val="24"/>
                <w:lang w:val="en-US" w:eastAsia="zh-CN"/>
              </w:rPr>
            </w:pPr>
            <w:r>
              <w:rPr>
                <w:rFonts w:hint="eastAsia"/>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9</w:t>
            </w:r>
          </w:p>
        </w:tc>
      </w:tr>
    </w:tbl>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ascii="宋体" w:hAnsi="宋体" w:eastAsia="宋体" w:cs="宋体"/>
          <w:sz w:val="36"/>
          <w:szCs w:val="36"/>
        </w:rPr>
      </w:pPr>
      <w:r>
        <w:rPr>
          <w:rFonts w:hint="eastAsia" w:ascii="宋体" w:hAnsi="宋体" w:eastAsia="宋体" w:cs="宋体"/>
          <w:b/>
          <w:bCs/>
          <w:sz w:val="36"/>
          <w:szCs w:val="36"/>
          <w:u w:val="none" w:color="auto"/>
          <w:lang w:eastAsia="zh-CN"/>
        </w:rPr>
        <w:t>麻阳县医疗保障局</w:t>
      </w:r>
      <w:r>
        <w:rPr>
          <w:rFonts w:hint="eastAsia" w:ascii="宋体" w:hAnsi="宋体" w:eastAsia="宋体" w:cs="宋体"/>
          <w:b/>
          <w:bCs/>
          <w:sz w:val="36"/>
          <w:szCs w:val="36"/>
          <w:u w:val="none" w:color="auto"/>
          <w:lang w:val="en-US" w:eastAsia="zh-CN"/>
        </w:rPr>
        <w:t>2021年</w:t>
      </w:r>
      <w:r>
        <w:rPr>
          <w:rFonts w:hint="eastAsia" w:ascii="宋体" w:hAnsi="宋体" w:eastAsia="宋体" w:cs="宋体"/>
          <w:b/>
          <w:bCs/>
          <w:sz w:val="36"/>
          <w:szCs w:val="36"/>
        </w:rPr>
        <w:t>绩效自评报告</w:t>
      </w:r>
    </w:p>
    <w:p>
      <w:pPr>
        <w:spacing w:line="580" w:lineRule="exact"/>
        <w:ind w:firstLine="560" w:firstLineChars="200"/>
        <w:contextualSpacing/>
        <w:rPr>
          <w:rFonts w:hint="eastAsia" w:ascii="宋体" w:hAnsi="宋体" w:eastAsia="宋体" w:cs="宋体"/>
          <w:kern w:val="2"/>
          <w:sz w:val="28"/>
          <w:szCs w:val="28"/>
          <w:lang w:val="en-US" w:eastAsia="zh-CN" w:bidi="ar-SA"/>
        </w:rPr>
      </w:pPr>
    </w:p>
    <w:p>
      <w:pPr>
        <w:spacing w:line="580" w:lineRule="exact"/>
        <w:ind w:firstLine="560" w:firstLineChars="200"/>
        <w:contextualSpacing/>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一、机构编制人员情况</w:t>
      </w:r>
    </w:p>
    <w:p>
      <w:pPr>
        <w:numPr>
          <w:ilvl w:val="0"/>
          <w:numId w:val="0"/>
        </w:numPr>
        <w:snapToGrid w:val="0"/>
        <w:spacing w:line="520" w:lineRule="exact"/>
        <w:ind w:firstLine="840" w:firstLineChars="300"/>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val="zh-CN"/>
        </w:rPr>
        <w:t>麻阳县医疗保障局为全额拨</w:t>
      </w:r>
      <w:r>
        <w:rPr>
          <w:rFonts w:hint="eastAsia" w:ascii="宋体" w:hAnsi="宋体" w:eastAsia="宋体" w:cs="宋体"/>
          <w:kern w:val="0"/>
          <w:sz w:val="28"/>
          <w:szCs w:val="28"/>
          <w:lang w:val="zh-CN"/>
        </w:rPr>
        <w:t>款</w:t>
      </w:r>
      <w:r>
        <w:rPr>
          <w:rFonts w:hint="eastAsia" w:ascii="宋体" w:hAnsi="宋体" w:eastAsia="宋体" w:cs="宋体"/>
          <w:kern w:val="2"/>
          <w:sz w:val="28"/>
          <w:szCs w:val="28"/>
          <w:lang w:val="zh-CN" w:eastAsia="zh-CN" w:bidi="ar-SA"/>
        </w:rPr>
        <w:t>行政单位。</w:t>
      </w:r>
      <w:r>
        <w:rPr>
          <w:rFonts w:hint="eastAsia" w:ascii="宋体" w:hAnsi="宋体" w:eastAsia="宋体" w:cs="宋体"/>
          <w:kern w:val="0"/>
          <w:sz w:val="28"/>
          <w:szCs w:val="28"/>
          <w:lang w:val="zh-CN"/>
        </w:rPr>
        <w:t>核定编制49人，其中：行政编</w:t>
      </w:r>
      <w:r>
        <w:rPr>
          <w:rFonts w:hint="eastAsia" w:ascii="宋体" w:hAnsi="宋体" w:eastAsia="宋体" w:cs="宋体"/>
          <w:kern w:val="0"/>
          <w:sz w:val="28"/>
          <w:szCs w:val="28"/>
          <w:lang w:val="en-US" w:eastAsia="zh-CN"/>
        </w:rPr>
        <w:t>17</w:t>
      </w:r>
      <w:r>
        <w:rPr>
          <w:rFonts w:hint="eastAsia" w:ascii="宋体" w:hAnsi="宋体" w:eastAsia="宋体" w:cs="宋体"/>
          <w:kern w:val="0"/>
          <w:sz w:val="28"/>
          <w:szCs w:val="28"/>
          <w:lang w:val="zh-CN"/>
        </w:rPr>
        <w:t>人</w:t>
      </w:r>
      <w:bookmarkStart w:id="0" w:name="_GoBack"/>
      <w:bookmarkEnd w:id="0"/>
      <w:r>
        <w:rPr>
          <w:rFonts w:hint="eastAsia" w:ascii="宋体" w:hAnsi="宋体" w:eastAsia="宋体" w:cs="宋体"/>
          <w:kern w:val="0"/>
          <w:sz w:val="28"/>
          <w:szCs w:val="28"/>
          <w:lang w:val="zh-CN"/>
        </w:rPr>
        <w:t>，事业编</w:t>
      </w:r>
      <w:r>
        <w:rPr>
          <w:rFonts w:hint="eastAsia" w:ascii="宋体" w:hAnsi="宋体" w:eastAsia="宋体" w:cs="宋体"/>
          <w:kern w:val="0"/>
          <w:sz w:val="28"/>
          <w:szCs w:val="28"/>
          <w:lang w:val="en-US" w:eastAsia="zh-CN"/>
        </w:rPr>
        <w:t>41</w:t>
      </w:r>
      <w:r>
        <w:rPr>
          <w:rFonts w:hint="eastAsia" w:ascii="宋体" w:hAnsi="宋体" w:eastAsia="宋体" w:cs="宋体"/>
          <w:kern w:val="0"/>
          <w:sz w:val="28"/>
          <w:szCs w:val="28"/>
          <w:lang w:val="zh-CN"/>
        </w:rPr>
        <w:t>人。截止20</w:t>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zh-CN"/>
        </w:rPr>
        <w:t>年</w:t>
      </w:r>
      <w:r>
        <w:rPr>
          <w:rFonts w:hint="eastAsia" w:ascii="宋体" w:hAnsi="宋体" w:eastAsia="宋体" w:cs="宋体"/>
          <w:kern w:val="0"/>
          <w:sz w:val="28"/>
          <w:szCs w:val="28"/>
        </w:rPr>
        <w:t>12</w:t>
      </w:r>
      <w:r>
        <w:rPr>
          <w:rFonts w:hint="eastAsia" w:ascii="宋体" w:hAnsi="宋体" w:eastAsia="宋体" w:cs="宋体"/>
          <w:kern w:val="0"/>
          <w:sz w:val="28"/>
          <w:szCs w:val="28"/>
          <w:lang w:val="zh-CN"/>
        </w:rPr>
        <w:t>月份，实有人数5</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lang w:val="zh-CN"/>
        </w:rPr>
        <w:t>人，其中：在职5</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lang w:val="zh-CN"/>
        </w:rPr>
        <w:t>人，自收自支人员</w:t>
      </w:r>
      <w:r>
        <w:rPr>
          <w:rFonts w:hint="eastAsia" w:ascii="宋体" w:hAnsi="宋体" w:eastAsia="宋体" w:cs="宋体"/>
          <w:kern w:val="0"/>
          <w:sz w:val="28"/>
          <w:szCs w:val="28"/>
          <w:lang w:val="en-US" w:eastAsia="zh-CN"/>
        </w:rPr>
        <w:t>1人。</w:t>
      </w:r>
    </w:p>
    <w:p>
      <w:pPr>
        <w:spacing w:line="580" w:lineRule="exact"/>
        <w:ind w:firstLine="560" w:firstLineChars="200"/>
        <w:contextualSpacing/>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二、单位主要职能与年度绩效目标</w:t>
      </w:r>
    </w:p>
    <w:p>
      <w:pPr>
        <w:spacing w:line="580" w:lineRule="exact"/>
        <w:ind w:firstLine="562" w:firstLineChars="200"/>
        <w:contextualSpacing/>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（一）、主要职能</w:t>
      </w:r>
    </w:p>
    <w:p>
      <w:pPr>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贯彻执行基本医疗生育保险的有关政策规定，检查、指导基本医疗生育保险业务工作。负责基本医疗生育保险费征收、支付和管理。受理参保单位、职工有关医疗生育保险业务的查询，做好相应的配套服务工作。受劳动保障行政部门的委托，检查、调查基本医疗生育保险费征缴的有关工作。负责建立基本医疗生育保险的缴费记录。执行居民医疗生育保险的有关政策规定，检查、指导居民医疗生育保险的一切相关业务工作。承办县人民政府交办的其他事项。</w:t>
      </w:r>
    </w:p>
    <w:p>
      <w:pPr>
        <w:spacing w:line="580" w:lineRule="exact"/>
        <w:ind w:firstLine="562" w:firstLineChars="200"/>
        <w:contextualSpacing/>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（二）、绩效目标</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1：我局坚持“以民为本，为民解困，为民服务”的 工作宗旨，紧紧围绕年初制定的工作目标，合理使用资金，提高资金使用效益，帮助城镇职工医保更好的实施国家优惠政策，减少”三公经费”的支出。</w:t>
      </w:r>
    </w:p>
    <w:p>
      <w:pPr>
        <w:spacing w:line="580" w:lineRule="exact"/>
        <w:ind w:firstLine="560" w:firstLineChars="200"/>
        <w:contextualSpacing/>
        <w:rPr>
          <w:rFonts w:hint="eastAsia" w:ascii="宋体" w:hAnsi="宋体" w:eastAsia="宋体" w:cs="宋体"/>
          <w:color w:val="000000"/>
          <w:kern w:val="0"/>
          <w:sz w:val="28"/>
          <w:szCs w:val="28"/>
          <w:lang w:eastAsia="zh-CN"/>
        </w:rPr>
      </w:pPr>
      <w:r>
        <w:rPr>
          <w:rFonts w:hint="eastAsia" w:ascii="宋体" w:hAnsi="宋体" w:eastAsia="宋体" w:cs="宋体"/>
          <w:kern w:val="0"/>
          <w:sz w:val="28"/>
          <w:szCs w:val="28"/>
        </w:rPr>
        <w:t>2：一是是认真做好本职工作,  医保服务水平不断提高，</w:t>
      </w:r>
      <w:r>
        <w:rPr>
          <w:rFonts w:hint="eastAsia" w:ascii="宋体" w:hAnsi="宋体" w:eastAsia="宋体" w:cs="宋体"/>
          <w:color w:val="000000"/>
          <w:kern w:val="0"/>
          <w:sz w:val="28"/>
          <w:szCs w:val="28"/>
        </w:rPr>
        <w:t>做好城镇职工基本医疗保险、大病医疗保险、生育医疗保险、特殊人群医疗保险、收支工作，保障参保人员医疗保险待遇，保障医保基金缴费基数稽核工作顺利进行，专人负责，精密组织实施，单位纪检全程参与并监督工作</w:t>
      </w:r>
      <w:r>
        <w:rPr>
          <w:rFonts w:hint="eastAsia" w:ascii="宋体" w:hAnsi="宋体" w:eastAsia="宋体" w:cs="宋体"/>
          <w:color w:val="000000"/>
          <w:kern w:val="0"/>
          <w:sz w:val="28"/>
          <w:szCs w:val="28"/>
          <w:lang w:eastAsia="zh-CN"/>
        </w:rPr>
        <w:t>。</w:t>
      </w:r>
    </w:p>
    <w:p>
      <w:pPr>
        <w:spacing w:line="580" w:lineRule="exact"/>
        <w:ind w:firstLine="560" w:firstLineChars="200"/>
        <w:contextualSpacing/>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三、年度整体支出及管理情况</w:t>
      </w:r>
    </w:p>
    <w:p>
      <w:pPr>
        <w:adjustRightInd w:val="0"/>
        <w:snapToGrid w:val="0"/>
        <w:spacing w:line="6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三、年度整体支出及管理情况</w:t>
      </w:r>
    </w:p>
    <w:p>
      <w:pPr>
        <w:adjustRightInd w:val="0"/>
        <w:snapToGrid w:val="0"/>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（一）基本支出情况</w:t>
      </w:r>
    </w:p>
    <w:p>
      <w:pPr>
        <w:pStyle w:val="7"/>
        <w:spacing w:before="0" w:beforeAutospacing="0" w:after="300" w:afterAutospacing="0" w:line="560" w:lineRule="exact"/>
        <w:ind w:firstLine="640"/>
        <w:jc w:val="both"/>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本单位2021年一般公共预算财政拨款支出</w:t>
      </w:r>
      <w:r>
        <w:rPr>
          <w:rFonts w:hint="eastAsia" w:ascii="宋体" w:hAnsi="宋体" w:eastAsia="宋体" w:cs="宋体"/>
          <w:color w:val="333333"/>
          <w:sz w:val="28"/>
          <w:szCs w:val="28"/>
          <w:shd w:val="clear" w:color="auto" w:fill="FFFFFF"/>
          <w:lang w:val="en-US" w:eastAsia="zh-CN"/>
        </w:rPr>
        <w:t>710.58</w:t>
      </w:r>
      <w:r>
        <w:rPr>
          <w:rFonts w:hint="eastAsia" w:ascii="宋体" w:hAnsi="宋体" w:eastAsia="宋体" w:cs="宋体"/>
          <w:color w:val="333333"/>
          <w:sz w:val="28"/>
          <w:szCs w:val="28"/>
          <w:shd w:val="clear" w:color="auto" w:fill="FFFFFF"/>
        </w:rPr>
        <w:t>万元，占本年支出100%，其中：</w:t>
      </w:r>
    </w:p>
    <w:p>
      <w:pPr>
        <w:pStyle w:val="7"/>
        <w:spacing w:before="0" w:beforeAutospacing="0" w:after="300" w:afterAutospacing="0" w:line="560" w:lineRule="exact"/>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（1）工资福利支出支出为：</w:t>
      </w:r>
      <w:r>
        <w:rPr>
          <w:rFonts w:hint="eastAsia" w:ascii="宋体" w:hAnsi="宋体" w:eastAsia="宋体" w:cs="宋体"/>
          <w:color w:val="333333"/>
          <w:sz w:val="28"/>
          <w:szCs w:val="28"/>
          <w:shd w:val="clear" w:color="auto" w:fill="FFFFFF"/>
          <w:lang w:val="en-US" w:eastAsia="zh-CN"/>
        </w:rPr>
        <w:t>614.28</w:t>
      </w:r>
      <w:r>
        <w:rPr>
          <w:rFonts w:hint="eastAsia" w:ascii="宋体" w:hAnsi="宋体" w:eastAsia="宋体" w:cs="宋体"/>
          <w:color w:val="333333"/>
          <w:sz w:val="28"/>
          <w:szCs w:val="28"/>
          <w:shd w:val="clear" w:color="auto" w:fill="FFFFFF"/>
        </w:rPr>
        <w:t>万元，其中：基本工资支出</w:t>
      </w:r>
      <w:r>
        <w:rPr>
          <w:rFonts w:hint="eastAsia" w:ascii="宋体" w:hAnsi="宋体" w:eastAsia="宋体" w:cs="宋体"/>
          <w:color w:val="333333"/>
          <w:sz w:val="28"/>
          <w:szCs w:val="28"/>
          <w:shd w:val="clear" w:color="auto" w:fill="FFFFFF"/>
          <w:lang w:val="en-US" w:eastAsia="zh-CN"/>
        </w:rPr>
        <w:t>418.84</w:t>
      </w:r>
      <w:r>
        <w:rPr>
          <w:rFonts w:hint="eastAsia" w:ascii="宋体" w:hAnsi="宋体" w:eastAsia="宋体" w:cs="宋体"/>
          <w:color w:val="333333"/>
          <w:sz w:val="28"/>
          <w:szCs w:val="28"/>
          <w:shd w:val="clear" w:color="auto" w:fill="FFFFFF"/>
        </w:rPr>
        <w:t>万元，津贴补贴支出</w:t>
      </w:r>
      <w:r>
        <w:rPr>
          <w:rFonts w:hint="eastAsia" w:ascii="宋体" w:hAnsi="宋体" w:eastAsia="宋体" w:cs="宋体"/>
          <w:color w:val="333333"/>
          <w:sz w:val="28"/>
          <w:szCs w:val="28"/>
          <w:shd w:val="clear" w:color="auto" w:fill="FFFFFF"/>
          <w:lang w:val="en-US" w:eastAsia="zh-CN"/>
        </w:rPr>
        <w:t>6.33</w:t>
      </w:r>
      <w:r>
        <w:rPr>
          <w:rFonts w:hint="eastAsia" w:ascii="宋体" w:hAnsi="宋体" w:eastAsia="宋体" w:cs="宋体"/>
          <w:color w:val="333333"/>
          <w:sz w:val="28"/>
          <w:szCs w:val="28"/>
          <w:shd w:val="clear" w:color="auto" w:fill="FFFFFF"/>
        </w:rPr>
        <w:t>万元，奖金支出</w:t>
      </w:r>
      <w:r>
        <w:rPr>
          <w:rFonts w:hint="eastAsia" w:ascii="宋体" w:hAnsi="宋体" w:eastAsia="宋体" w:cs="宋体"/>
          <w:color w:val="333333"/>
          <w:sz w:val="28"/>
          <w:szCs w:val="28"/>
          <w:shd w:val="clear" w:color="auto" w:fill="FFFFFF"/>
          <w:lang w:val="en-US" w:eastAsia="zh-CN"/>
        </w:rPr>
        <w:t>159.57</w:t>
      </w:r>
      <w:r>
        <w:rPr>
          <w:rFonts w:hint="eastAsia" w:ascii="宋体" w:hAnsi="宋体" w:eastAsia="宋体" w:cs="宋体"/>
          <w:color w:val="333333"/>
          <w:sz w:val="28"/>
          <w:szCs w:val="28"/>
          <w:shd w:val="clear" w:color="auto" w:fill="FFFFFF"/>
        </w:rPr>
        <w:t>万元，伙食补助费支出</w:t>
      </w:r>
      <w:r>
        <w:rPr>
          <w:rFonts w:hint="eastAsia" w:ascii="宋体" w:hAnsi="宋体" w:eastAsia="宋体" w:cs="宋体"/>
          <w:color w:val="333333"/>
          <w:sz w:val="28"/>
          <w:szCs w:val="28"/>
          <w:shd w:val="clear" w:color="auto" w:fill="FFFFFF"/>
          <w:lang w:val="en-US" w:eastAsia="zh-CN"/>
        </w:rPr>
        <w:t>12.96</w:t>
      </w:r>
      <w:r>
        <w:rPr>
          <w:rFonts w:hint="eastAsia" w:ascii="宋体" w:hAnsi="宋体" w:eastAsia="宋体" w:cs="宋体"/>
          <w:color w:val="333333"/>
          <w:sz w:val="28"/>
          <w:szCs w:val="28"/>
          <w:shd w:val="clear" w:color="auto" w:fill="FFFFFF"/>
        </w:rPr>
        <w:t>万元，</w:t>
      </w:r>
      <w:r>
        <w:rPr>
          <w:rFonts w:hint="eastAsia" w:ascii="宋体" w:hAnsi="宋体" w:eastAsia="宋体" w:cs="宋体"/>
          <w:color w:val="333333"/>
          <w:sz w:val="28"/>
          <w:szCs w:val="28"/>
          <w:shd w:val="clear" w:color="auto" w:fill="FFFFFF"/>
          <w:lang w:eastAsia="zh-CN"/>
        </w:rPr>
        <w:t>其他工资福利支出</w:t>
      </w:r>
      <w:r>
        <w:rPr>
          <w:rFonts w:hint="eastAsia" w:ascii="宋体" w:hAnsi="宋体" w:eastAsia="宋体" w:cs="宋体"/>
          <w:color w:val="333333"/>
          <w:sz w:val="28"/>
          <w:szCs w:val="28"/>
          <w:shd w:val="clear" w:color="auto" w:fill="FFFFFF"/>
          <w:lang w:val="en-US" w:eastAsia="zh-CN"/>
        </w:rPr>
        <w:t>16.58万元</w:t>
      </w:r>
      <w:r>
        <w:rPr>
          <w:rFonts w:hint="eastAsia" w:ascii="宋体" w:hAnsi="宋体" w:eastAsia="宋体" w:cs="宋体"/>
          <w:color w:val="333333"/>
          <w:sz w:val="28"/>
          <w:szCs w:val="28"/>
          <w:shd w:val="clear" w:color="auto" w:fill="FFFFFF"/>
        </w:rPr>
        <w:t>。</w:t>
      </w:r>
    </w:p>
    <w:p>
      <w:pPr>
        <w:pStyle w:val="7"/>
        <w:spacing w:before="0" w:beforeAutospacing="0" w:after="300" w:afterAutospacing="0" w:line="560" w:lineRule="exact"/>
        <w:ind w:firstLine="280" w:firstLineChars="100"/>
        <w:jc w:val="both"/>
        <w:rPr>
          <w:rFonts w:hint="eastAsia" w:ascii="宋体" w:hAnsi="宋体" w:eastAsia="宋体" w:cs="宋体"/>
          <w:sz w:val="28"/>
          <w:szCs w:val="28"/>
        </w:rPr>
      </w:pPr>
      <w:r>
        <w:rPr>
          <w:rFonts w:hint="eastAsia" w:ascii="宋体" w:hAnsi="宋体" w:eastAsia="宋体" w:cs="宋体"/>
          <w:color w:val="333333"/>
          <w:sz w:val="28"/>
          <w:szCs w:val="28"/>
          <w:shd w:val="clear" w:color="auto" w:fill="FFFFFF"/>
        </w:rPr>
        <w:t>（2）商品和服务支出支出为</w:t>
      </w:r>
      <w:r>
        <w:rPr>
          <w:rFonts w:hint="eastAsia" w:ascii="宋体" w:hAnsi="宋体" w:eastAsia="宋体" w:cs="宋体"/>
          <w:color w:val="333333"/>
          <w:sz w:val="28"/>
          <w:szCs w:val="28"/>
          <w:shd w:val="clear" w:color="auto" w:fill="FFFFFF"/>
          <w:lang w:val="en-US" w:eastAsia="zh-CN"/>
        </w:rPr>
        <w:t>94.22</w:t>
      </w:r>
      <w:r>
        <w:rPr>
          <w:rFonts w:hint="eastAsia" w:ascii="宋体" w:hAnsi="宋体" w:eastAsia="宋体" w:cs="宋体"/>
          <w:color w:val="333333"/>
          <w:sz w:val="28"/>
          <w:szCs w:val="28"/>
          <w:shd w:val="clear" w:color="auto" w:fill="FFFFFF"/>
        </w:rPr>
        <w:t>万元，其中：办公费支出</w:t>
      </w:r>
      <w:r>
        <w:rPr>
          <w:rFonts w:hint="eastAsia" w:ascii="宋体" w:hAnsi="宋体" w:eastAsia="宋体" w:cs="宋体"/>
          <w:color w:val="333333"/>
          <w:sz w:val="28"/>
          <w:szCs w:val="28"/>
          <w:shd w:val="clear" w:color="auto" w:fill="FFFFFF"/>
          <w:lang w:val="en-US" w:eastAsia="zh-CN"/>
        </w:rPr>
        <w:t>58.18</w:t>
      </w:r>
      <w:r>
        <w:rPr>
          <w:rFonts w:hint="eastAsia" w:ascii="宋体" w:hAnsi="宋体" w:eastAsia="宋体" w:cs="宋体"/>
          <w:color w:val="333333"/>
          <w:sz w:val="28"/>
          <w:szCs w:val="28"/>
          <w:shd w:val="clear" w:color="auto" w:fill="FFFFFF"/>
        </w:rPr>
        <w:t>万元，电费</w:t>
      </w:r>
      <w:r>
        <w:rPr>
          <w:rFonts w:hint="eastAsia" w:ascii="宋体" w:hAnsi="宋体" w:eastAsia="宋体" w:cs="宋体"/>
          <w:color w:val="333333"/>
          <w:sz w:val="28"/>
          <w:szCs w:val="28"/>
          <w:shd w:val="clear" w:color="auto" w:fill="FFFFFF"/>
          <w:lang w:val="en-US" w:eastAsia="zh-CN"/>
        </w:rPr>
        <w:t>6.92</w:t>
      </w:r>
      <w:r>
        <w:rPr>
          <w:rFonts w:hint="eastAsia" w:ascii="宋体" w:hAnsi="宋体" w:eastAsia="宋体" w:cs="宋体"/>
          <w:color w:val="333333"/>
          <w:sz w:val="28"/>
          <w:szCs w:val="28"/>
          <w:shd w:val="clear" w:color="auto" w:fill="FFFFFF"/>
        </w:rPr>
        <w:t>万元，邮电费支出</w:t>
      </w:r>
      <w:r>
        <w:rPr>
          <w:rFonts w:hint="eastAsia" w:ascii="宋体" w:hAnsi="宋体" w:eastAsia="宋体" w:cs="宋体"/>
          <w:color w:val="333333"/>
          <w:sz w:val="28"/>
          <w:szCs w:val="28"/>
          <w:shd w:val="clear" w:color="auto" w:fill="FFFFFF"/>
          <w:lang w:val="en-US" w:eastAsia="zh-CN"/>
        </w:rPr>
        <w:t>0.71</w:t>
      </w:r>
      <w:r>
        <w:rPr>
          <w:rFonts w:hint="eastAsia" w:ascii="宋体" w:hAnsi="宋体" w:eastAsia="宋体" w:cs="宋体"/>
          <w:color w:val="333333"/>
          <w:sz w:val="28"/>
          <w:szCs w:val="28"/>
          <w:shd w:val="clear" w:color="auto" w:fill="FFFFFF"/>
        </w:rPr>
        <w:t>万元，差旅费支出</w:t>
      </w:r>
      <w:r>
        <w:rPr>
          <w:rFonts w:hint="eastAsia" w:ascii="宋体" w:hAnsi="宋体" w:eastAsia="宋体" w:cs="宋体"/>
          <w:color w:val="333333"/>
          <w:sz w:val="28"/>
          <w:szCs w:val="28"/>
          <w:shd w:val="clear" w:color="auto" w:fill="FFFFFF"/>
          <w:lang w:val="en-US" w:eastAsia="zh-CN"/>
        </w:rPr>
        <w:t>5.44</w:t>
      </w:r>
      <w:r>
        <w:rPr>
          <w:rFonts w:hint="eastAsia" w:ascii="宋体" w:hAnsi="宋体" w:eastAsia="宋体" w:cs="宋体"/>
          <w:color w:val="333333"/>
          <w:sz w:val="28"/>
          <w:szCs w:val="28"/>
          <w:shd w:val="clear" w:color="auto" w:fill="FFFFFF"/>
        </w:rPr>
        <w:t>万元，公务接待费支出</w:t>
      </w:r>
      <w:r>
        <w:rPr>
          <w:rFonts w:hint="eastAsia" w:ascii="宋体" w:hAnsi="宋体" w:eastAsia="宋体" w:cs="宋体"/>
          <w:color w:val="333333"/>
          <w:sz w:val="28"/>
          <w:szCs w:val="28"/>
          <w:shd w:val="clear" w:color="auto" w:fill="FFFFFF"/>
          <w:lang w:val="en-US" w:eastAsia="zh-CN"/>
        </w:rPr>
        <w:t>0.81</w:t>
      </w:r>
      <w:r>
        <w:rPr>
          <w:rFonts w:hint="eastAsia" w:ascii="宋体" w:hAnsi="宋体" w:eastAsia="宋体" w:cs="宋体"/>
          <w:color w:val="333333"/>
          <w:sz w:val="28"/>
          <w:szCs w:val="28"/>
          <w:shd w:val="clear" w:color="auto" w:fill="FFFFFF"/>
        </w:rPr>
        <w:t>万元，劳务费支出</w:t>
      </w:r>
      <w:r>
        <w:rPr>
          <w:rFonts w:hint="eastAsia" w:ascii="宋体" w:hAnsi="宋体" w:eastAsia="宋体" w:cs="宋体"/>
          <w:color w:val="333333"/>
          <w:sz w:val="28"/>
          <w:szCs w:val="28"/>
          <w:shd w:val="clear" w:color="auto" w:fill="FFFFFF"/>
          <w:lang w:val="en-US" w:eastAsia="zh-CN"/>
        </w:rPr>
        <w:t>0.36</w:t>
      </w:r>
      <w:r>
        <w:rPr>
          <w:rFonts w:hint="eastAsia" w:ascii="宋体" w:hAnsi="宋体" w:eastAsia="宋体" w:cs="宋体"/>
          <w:color w:val="333333"/>
          <w:sz w:val="28"/>
          <w:szCs w:val="28"/>
          <w:shd w:val="clear" w:color="auto" w:fill="FFFFFF"/>
        </w:rPr>
        <w:t>万元，工会经费支出</w:t>
      </w:r>
      <w:r>
        <w:rPr>
          <w:rFonts w:hint="eastAsia" w:ascii="宋体" w:hAnsi="宋体" w:eastAsia="宋体" w:cs="宋体"/>
          <w:color w:val="333333"/>
          <w:sz w:val="28"/>
          <w:szCs w:val="28"/>
          <w:shd w:val="clear" w:color="auto" w:fill="FFFFFF"/>
          <w:lang w:val="en-US" w:eastAsia="zh-CN"/>
        </w:rPr>
        <w:t>21.8</w:t>
      </w:r>
      <w:r>
        <w:rPr>
          <w:rFonts w:hint="eastAsia" w:ascii="宋体" w:hAnsi="宋体" w:eastAsia="宋体" w:cs="宋体"/>
          <w:color w:val="333333"/>
          <w:sz w:val="28"/>
          <w:szCs w:val="28"/>
          <w:shd w:val="clear" w:color="auto" w:fill="FFFFFF"/>
        </w:rPr>
        <w:t>万元。</w:t>
      </w:r>
    </w:p>
    <w:p>
      <w:pPr>
        <w:pStyle w:val="7"/>
        <w:spacing w:before="0" w:beforeAutospacing="0" w:after="300" w:afterAutospacing="0" w:line="560" w:lineRule="exact"/>
        <w:jc w:val="both"/>
        <w:rPr>
          <w:rFonts w:hint="eastAsia" w:ascii="宋体" w:hAnsi="宋体" w:eastAsia="宋体" w:cs="宋体"/>
          <w:color w:val="333333"/>
          <w:sz w:val="28"/>
          <w:szCs w:val="28"/>
          <w:shd w:val="clear" w:color="auto" w:fill="FFFFFF"/>
        </w:rPr>
      </w:pPr>
      <w:r>
        <w:rPr>
          <w:rFonts w:hint="eastAsia" w:ascii="宋体" w:hAnsi="宋体" w:eastAsia="宋体" w:cs="宋体"/>
          <w:b/>
          <w:color w:val="333333"/>
          <w:sz w:val="28"/>
          <w:szCs w:val="28"/>
          <w:shd w:val="clear" w:color="auto" w:fill="FFFFFF"/>
        </w:rPr>
        <w:t> </w:t>
      </w:r>
      <w:r>
        <w:rPr>
          <w:rFonts w:hint="eastAsia" w:ascii="宋体" w:hAnsi="宋体" w:eastAsia="宋体" w:cs="宋体"/>
          <w:color w:val="333333"/>
          <w:sz w:val="28"/>
          <w:szCs w:val="28"/>
          <w:shd w:val="clear" w:color="auto" w:fill="FFFFFF"/>
        </w:rPr>
        <w:t>（3）对个和家庭的补助支出为</w:t>
      </w:r>
      <w:r>
        <w:rPr>
          <w:rFonts w:hint="eastAsia" w:ascii="宋体" w:hAnsi="宋体" w:eastAsia="宋体" w:cs="宋体"/>
          <w:color w:val="333333"/>
          <w:sz w:val="28"/>
          <w:szCs w:val="28"/>
          <w:shd w:val="clear" w:color="auto" w:fill="FFFFFF"/>
          <w:lang w:val="en-US" w:eastAsia="zh-CN"/>
        </w:rPr>
        <w:t>2.08</w:t>
      </w:r>
      <w:r>
        <w:rPr>
          <w:rFonts w:hint="eastAsia" w:ascii="宋体" w:hAnsi="宋体" w:eastAsia="宋体" w:cs="宋体"/>
          <w:color w:val="333333"/>
          <w:sz w:val="28"/>
          <w:szCs w:val="28"/>
          <w:shd w:val="clear" w:color="auto" w:fill="FFFFFF"/>
        </w:rPr>
        <w:t>万元，其中：生活补助支出</w:t>
      </w:r>
      <w:r>
        <w:rPr>
          <w:rFonts w:hint="eastAsia" w:ascii="宋体" w:hAnsi="宋体" w:eastAsia="宋体" w:cs="宋体"/>
          <w:color w:val="333333"/>
          <w:sz w:val="28"/>
          <w:szCs w:val="28"/>
          <w:shd w:val="clear" w:color="auto" w:fill="FFFFFF"/>
          <w:lang w:val="en-US" w:eastAsia="zh-CN"/>
        </w:rPr>
        <w:t>2.08</w:t>
      </w:r>
      <w:r>
        <w:rPr>
          <w:rFonts w:hint="eastAsia" w:ascii="宋体" w:hAnsi="宋体" w:eastAsia="宋体" w:cs="宋体"/>
          <w:color w:val="333333"/>
          <w:sz w:val="28"/>
          <w:szCs w:val="28"/>
          <w:shd w:val="clear" w:color="auto" w:fill="FFFFFF"/>
        </w:rPr>
        <w:t>万元。</w:t>
      </w:r>
    </w:p>
    <w:p>
      <w:pPr>
        <w:adjustRightInd w:val="0"/>
        <w:snapToGrid w:val="0"/>
        <w:spacing w:line="600" w:lineRule="exact"/>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本单位2021年“三公”经费支出</w:t>
      </w:r>
      <w:r>
        <w:rPr>
          <w:rFonts w:hint="eastAsia" w:ascii="宋体" w:hAnsi="宋体" w:eastAsia="宋体" w:cs="宋体"/>
          <w:color w:val="333333"/>
          <w:sz w:val="28"/>
          <w:szCs w:val="28"/>
          <w:shd w:val="clear" w:color="auto" w:fill="FFFFFF"/>
          <w:lang w:val="en-US" w:eastAsia="zh-CN"/>
        </w:rPr>
        <w:t>0.81</w:t>
      </w:r>
      <w:r>
        <w:rPr>
          <w:rFonts w:hint="eastAsia" w:ascii="宋体" w:hAnsi="宋体" w:eastAsia="宋体" w:cs="宋体"/>
          <w:color w:val="333333"/>
          <w:sz w:val="28"/>
          <w:szCs w:val="28"/>
          <w:shd w:val="clear" w:color="auto" w:fill="FFFFFF"/>
        </w:rPr>
        <w:t>万元，其中：因公出国（境）费支出0万元，公务用车购置及运行维护费支出</w:t>
      </w:r>
      <w:r>
        <w:rPr>
          <w:rFonts w:hint="eastAsia" w:ascii="宋体" w:hAnsi="宋体" w:eastAsia="宋体" w:cs="宋体"/>
          <w:color w:val="333333"/>
          <w:sz w:val="28"/>
          <w:szCs w:val="28"/>
          <w:shd w:val="clear" w:color="auto" w:fill="FFFFFF"/>
          <w:lang w:val="en-US" w:eastAsia="zh-CN"/>
        </w:rPr>
        <w:t>0</w:t>
      </w:r>
      <w:r>
        <w:rPr>
          <w:rFonts w:hint="eastAsia" w:ascii="宋体" w:hAnsi="宋体" w:eastAsia="宋体" w:cs="宋体"/>
          <w:color w:val="333333"/>
          <w:sz w:val="28"/>
          <w:szCs w:val="28"/>
          <w:shd w:val="clear" w:color="auto" w:fill="FFFFFF"/>
        </w:rPr>
        <w:t>万元。公务接待费支出</w:t>
      </w:r>
      <w:r>
        <w:rPr>
          <w:rFonts w:hint="eastAsia" w:ascii="宋体" w:hAnsi="宋体" w:eastAsia="宋体" w:cs="宋体"/>
          <w:color w:val="333333"/>
          <w:sz w:val="28"/>
          <w:szCs w:val="28"/>
          <w:shd w:val="clear" w:color="auto" w:fill="FFFFFF"/>
          <w:lang w:val="en-US" w:eastAsia="zh-CN"/>
        </w:rPr>
        <w:t>0.81</w:t>
      </w:r>
      <w:r>
        <w:rPr>
          <w:rFonts w:hint="eastAsia" w:ascii="宋体" w:hAnsi="宋体" w:eastAsia="宋体" w:cs="宋体"/>
          <w:color w:val="333333"/>
          <w:sz w:val="28"/>
          <w:szCs w:val="28"/>
          <w:shd w:val="clear" w:color="auto" w:fill="FFFFFF"/>
        </w:rPr>
        <w:t>万元，接待批次</w:t>
      </w:r>
      <w:r>
        <w:rPr>
          <w:rFonts w:hint="eastAsia" w:ascii="宋体" w:hAnsi="宋体" w:eastAsia="宋体" w:cs="宋体"/>
          <w:color w:val="333333"/>
          <w:sz w:val="28"/>
          <w:szCs w:val="28"/>
          <w:shd w:val="clear" w:color="auto" w:fill="FFFFFF"/>
          <w:lang w:val="en-US" w:eastAsia="zh-CN"/>
        </w:rPr>
        <w:t>20</w:t>
      </w:r>
      <w:r>
        <w:rPr>
          <w:rFonts w:hint="eastAsia" w:ascii="宋体" w:hAnsi="宋体" w:eastAsia="宋体" w:cs="宋体"/>
          <w:color w:val="333333"/>
          <w:sz w:val="28"/>
          <w:szCs w:val="28"/>
          <w:shd w:val="clear" w:color="auto" w:fill="FFFFFF"/>
        </w:rPr>
        <w:t>次，接待人次</w:t>
      </w:r>
      <w:r>
        <w:rPr>
          <w:rFonts w:hint="eastAsia" w:ascii="宋体" w:hAnsi="宋体" w:eastAsia="宋体" w:cs="宋体"/>
          <w:color w:val="333333"/>
          <w:sz w:val="28"/>
          <w:szCs w:val="28"/>
          <w:shd w:val="clear" w:color="auto" w:fill="FFFFFF"/>
          <w:lang w:val="en-US" w:eastAsia="zh-CN"/>
        </w:rPr>
        <w:t>96</w:t>
      </w:r>
      <w:r>
        <w:rPr>
          <w:rFonts w:hint="eastAsia" w:ascii="宋体" w:hAnsi="宋体" w:eastAsia="宋体" w:cs="宋体"/>
          <w:color w:val="333333"/>
          <w:sz w:val="28"/>
          <w:szCs w:val="28"/>
          <w:shd w:val="clear" w:color="auto" w:fill="FFFFFF"/>
        </w:rPr>
        <w:t>人。</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3.资金管理情况（内部管理制度措施）</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 建立健全预算编制、审批、执行、决算与评价等预算内部管理制度。合理设置岗位，明确有关岗位的职责权限，确保预算编制、审批、执行、评价等不相容岗位相互分离。</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（2）预算编制应当做到程序规范、方法科学、编制及时、内容完整、项目细化、数据准确。</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（3）根据内设机构的职责和分工，对按照法定程序批复的预算进行合理分解，规范内部预算追加调整程序，发挥预算对经济活动的管控作用。</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单位应当根据批复的预算安排各项收支，确保预算严格有效执行。单位应当建立预算执行分析机制。定期通报预算执行情况，召开预算执行分析会议，研究解决预算执行中存在的问题，提出改进措施，提高预算执行的有效性。</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（5）单位应当加强决算管理，确保决算真实、完整、准确、及时，加强决算分析工作，强化决算分析结果运用，建立健全单位预算与决算相互反映、相互促进的机制。</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（6）单位应当加强预算绩效管理，建立“预算编制有目标、预算执行有监控、预算完成有评价、评价结果有反馈、反馈结果有应用”的全过程预算绩效管理机制。</w:t>
      </w:r>
    </w:p>
    <w:p>
      <w:pPr>
        <w:spacing w:line="580" w:lineRule="exact"/>
        <w:ind w:firstLine="560" w:firstLineChars="200"/>
        <w:contextualSpacing/>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四、整体支出绩效目标完成情况</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zh-CN" w:eastAsia="zh-CN" w:bidi="ar-SA"/>
        </w:rPr>
        <w:t>做好了全</w:t>
      </w:r>
      <w:r>
        <w:rPr>
          <w:rFonts w:hint="eastAsia" w:ascii="宋体" w:hAnsi="宋体" w:eastAsia="宋体" w:cs="宋体"/>
          <w:kern w:val="2"/>
          <w:sz w:val="28"/>
          <w:szCs w:val="28"/>
          <w:lang w:val="en-US" w:eastAsia="zh-CN" w:bidi="ar-SA"/>
        </w:rPr>
        <w:t>单位干部职工</w:t>
      </w:r>
      <w:r>
        <w:rPr>
          <w:rFonts w:hint="eastAsia" w:ascii="宋体" w:hAnsi="宋体" w:eastAsia="宋体" w:cs="宋体"/>
          <w:kern w:val="2"/>
          <w:sz w:val="28"/>
          <w:szCs w:val="28"/>
          <w:lang w:val="zh-CN" w:eastAsia="zh-CN" w:bidi="ar-SA"/>
        </w:rPr>
        <w:t>的思想政治工作。</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2.积极开展</w:t>
      </w:r>
      <w:r>
        <w:rPr>
          <w:rFonts w:hint="eastAsia" w:ascii="宋体" w:hAnsi="宋体" w:eastAsia="宋体" w:cs="宋体"/>
          <w:kern w:val="2"/>
          <w:sz w:val="28"/>
          <w:szCs w:val="28"/>
          <w:lang w:val="en-US" w:eastAsia="zh-CN" w:bidi="ar-SA"/>
        </w:rPr>
        <w:t>医疗保障相关工作</w:t>
      </w:r>
      <w:r>
        <w:rPr>
          <w:rFonts w:hint="eastAsia" w:ascii="宋体" w:hAnsi="宋体" w:eastAsia="宋体" w:cs="宋体"/>
          <w:kern w:val="2"/>
          <w:sz w:val="28"/>
          <w:szCs w:val="28"/>
          <w:lang w:val="zh-CN" w:eastAsia="zh-CN" w:bidi="ar-SA"/>
        </w:rPr>
        <w:t>。</w:t>
      </w:r>
    </w:p>
    <w:p>
      <w:pPr>
        <w:spacing w:line="580" w:lineRule="exact"/>
        <w:ind w:firstLine="560" w:firstLineChars="200"/>
        <w:contextualSpacing/>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五、存在的问题</w:t>
      </w:r>
    </w:p>
    <w:p>
      <w:pPr>
        <w:pStyle w:val="7"/>
        <w:widowControl/>
        <w:shd w:val="clear" w:color="auto" w:fill="FFFFFF"/>
        <w:spacing w:before="157" w:beforeAutospacing="0" w:after="157" w:afterAutospacing="0" w:line="460" w:lineRule="atLeast"/>
        <w:ind w:firstLine="48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1.年度绩效目标实际完成差异，重大增支超支情况，管理方面缺陷等。</w:t>
      </w:r>
    </w:p>
    <w:p>
      <w:pPr>
        <w:spacing w:line="540" w:lineRule="exact"/>
        <w:ind w:firstLine="560"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2</w:t>
      </w:r>
      <w:r>
        <w:rPr>
          <w:rFonts w:hint="eastAsia" w:ascii="宋体" w:hAnsi="宋体" w:eastAsia="宋体" w:cs="宋体"/>
          <w:kern w:val="0"/>
          <w:sz w:val="28"/>
          <w:szCs w:val="28"/>
          <w:shd w:val="clear" w:color="auto" w:fill="FFFFFF"/>
        </w:rPr>
        <w:t>、年初预算经费不足，年初预算与年度决算偏差较大，造成预算执行偏低。</w:t>
      </w:r>
    </w:p>
    <w:p>
      <w:pPr>
        <w:spacing w:line="540" w:lineRule="exact"/>
        <w:ind w:firstLine="560" w:firstLineChars="200"/>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lang w:val="en-US" w:eastAsia="zh-CN"/>
        </w:rPr>
        <w:t>3</w:t>
      </w:r>
      <w:r>
        <w:rPr>
          <w:rFonts w:hint="eastAsia" w:ascii="宋体" w:hAnsi="宋体" w:eastAsia="宋体" w:cs="宋体"/>
          <w:kern w:val="0"/>
          <w:sz w:val="28"/>
          <w:szCs w:val="28"/>
          <w:shd w:val="clear" w:color="auto" w:fill="FFFFFF"/>
        </w:rPr>
        <w:t>、固定资产管理有待加强，一些报废资产未及时进行报废处置。</w:t>
      </w:r>
    </w:p>
    <w:p>
      <w:pPr>
        <w:spacing w:line="580" w:lineRule="exact"/>
        <w:ind w:firstLine="560" w:firstLineChars="200"/>
        <w:contextualSpacing/>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六、改进措施与建议</w:t>
      </w:r>
    </w:p>
    <w:p>
      <w:pPr>
        <w:pStyle w:val="7"/>
        <w:widowControl/>
        <w:numPr>
          <w:ilvl w:val="0"/>
          <w:numId w:val="0"/>
        </w:numPr>
        <w:spacing w:line="360" w:lineRule="auto"/>
        <w:ind w:left="240" w:leftChars="75"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措施：在以后的工作中争取在作风上更扎实、工作上更细致、成效上更显著。</w:t>
      </w:r>
    </w:p>
    <w:p>
      <w:pPr>
        <w:pStyle w:val="7"/>
        <w:widowControl/>
        <w:numPr>
          <w:ilvl w:val="0"/>
          <w:numId w:val="0"/>
        </w:numPr>
        <w:spacing w:line="360" w:lineRule="auto"/>
        <w:ind w:left="240" w:leftChars="75" w:firstLine="280" w:firstLineChars="100"/>
        <w:rPr>
          <w:rFonts w:hint="eastAsia" w:ascii="宋体" w:hAnsi="宋体" w:eastAsia="宋体" w:cs="宋体"/>
          <w:kern w:val="0"/>
          <w:sz w:val="28"/>
          <w:szCs w:val="28"/>
          <w:shd w:val="clear" w:color="auto" w:fill="FFFFFF"/>
        </w:rPr>
      </w:pPr>
      <w:r>
        <w:rPr>
          <w:rFonts w:hint="eastAsia" w:ascii="宋体" w:hAnsi="宋体" w:eastAsia="宋体" w:cs="宋体"/>
          <w:kern w:val="2"/>
          <w:sz w:val="28"/>
          <w:szCs w:val="28"/>
          <w:lang w:val="en-US" w:eastAsia="zh-CN" w:bidi="ar-SA"/>
        </w:rPr>
        <w:t>建议：我单位工作量急剧增大，人员方面紧缺，请财政部门在配套资金上能够适当增加，以保证工作正常运行。</w:t>
      </w:r>
      <w:r>
        <w:rPr>
          <w:rFonts w:hint="eastAsia" w:ascii="宋体" w:hAnsi="宋体" w:eastAsia="宋体" w:cs="宋体"/>
          <w:kern w:val="0"/>
          <w:sz w:val="28"/>
          <w:szCs w:val="28"/>
          <w:shd w:val="clear" w:color="auto" w:fill="FFFFFF"/>
        </w:rPr>
        <w:t>进一步完善单位内控制度，加强单位资产管理，定期进行资产清查处置。</w:t>
      </w:r>
    </w:p>
    <w:p>
      <w:pPr>
        <w:pStyle w:val="7"/>
        <w:widowControl/>
        <w:numPr>
          <w:ilvl w:val="0"/>
          <w:numId w:val="0"/>
        </w:numPr>
        <w:spacing w:line="360" w:lineRule="auto"/>
        <w:rPr>
          <w:rFonts w:hint="eastAsia" w:ascii="Calibri" w:hAnsi="Calibri" w:eastAsia="仿宋_GB2312" w:cs="Arial"/>
          <w:kern w:val="2"/>
          <w:sz w:val="28"/>
          <w:szCs w:val="28"/>
          <w:lang w:val="en-US" w:eastAsia="zh-CN" w:bidi="ar-SA"/>
        </w:rPr>
      </w:pP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DJhYTI2YTI5NzdkYzVhNzE3ZmEyZjk1YTk0NjMifQ=="/>
  </w:docVars>
  <w:rsids>
    <w:rsidRoot w:val="00000000"/>
    <w:rsid w:val="012D7AAE"/>
    <w:rsid w:val="036E637A"/>
    <w:rsid w:val="044B3B7F"/>
    <w:rsid w:val="046917C8"/>
    <w:rsid w:val="05B77F2C"/>
    <w:rsid w:val="05D13C9E"/>
    <w:rsid w:val="08B12D43"/>
    <w:rsid w:val="09833D68"/>
    <w:rsid w:val="0C204376"/>
    <w:rsid w:val="0CEC768D"/>
    <w:rsid w:val="0DA81381"/>
    <w:rsid w:val="0DE6168A"/>
    <w:rsid w:val="0DF14C69"/>
    <w:rsid w:val="0E021E60"/>
    <w:rsid w:val="10E64849"/>
    <w:rsid w:val="130D2DA4"/>
    <w:rsid w:val="13286CF2"/>
    <w:rsid w:val="15AC7D89"/>
    <w:rsid w:val="18EB32A8"/>
    <w:rsid w:val="1A4C32C6"/>
    <w:rsid w:val="1A8C400A"/>
    <w:rsid w:val="1B852A0F"/>
    <w:rsid w:val="1BFE2CE6"/>
    <w:rsid w:val="1C152129"/>
    <w:rsid w:val="21BE0F4D"/>
    <w:rsid w:val="23902EAD"/>
    <w:rsid w:val="25180974"/>
    <w:rsid w:val="260526FE"/>
    <w:rsid w:val="2626523A"/>
    <w:rsid w:val="2C4047C0"/>
    <w:rsid w:val="2D004DF9"/>
    <w:rsid w:val="2D3C3247"/>
    <w:rsid w:val="30215B55"/>
    <w:rsid w:val="30647BE5"/>
    <w:rsid w:val="30FC1B13"/>
    <w:rsid w:val="317F0E37"/>
    <w:rsid w:val="33BA52ED"/>
    <w:rsid w:val="34A64FB1"/>
    <w:rsid w:val="37114931"/>
    <w:rsid w:val="39445CAB"/>
    <w:rsid w:val="395F3352"/>
    <w:rsid w:val="39D1697C"/>
    <w:rsid w:val="3A650377"/>
    <w:rsid w:val="3B936B4F"/>
    <w:rsid w:val="3D3C7832"/>
    <w:rsid w:val="41841981"/>
    <w:rsid w:val="42E94CF2"/>
    <w:rsid w:val="43BC14A4"/>
    <w:rsid w:val="43D85DCE"/>
    <w:rsid w:val="45D04EBC"/>
    <w:rsid w:val="49685368"/>
    <w:rsid w:val="4A7D5CC8"/>
    <w:rsid w:val="4BBA0128"/>
    <w:rsid w:val="4C8454F8"/>
    <w:rsid w:val="4F6D6F84"/>
    <w:rsid w:val="512B12F3"/>
    <w:rsid w:val="51992258"/>
    <w:rsid w:val="51C07B1A"/>
    <w:rsid w:val="51CD2963"/>
    <w:rsid w:val="53347E1A"/>
    <w:rsid w:val="53F51BFA"/>
    <w:rsid w:val="5585055B"/>
    <w:rsid w:val="56B0015D"/>
    <w:rsid w:val="57D54ACB"/>
    <w:rsid w:val="59E844A6"/>
    <w:rsid w:val="5A90452E"/>
    <w:rsid w:val="5AEB5C08"/>
    <w:rsid w:val="5B1B28C4"/>
    <w:rsid w:val="62FF575B"/>
    <w:rsid w:val="63F13471"/>
    <w:rsid w:val="65A17F37"/>
    <w:rsid w:val="6765230F"/>
    <w:rsid w:val="69895E31"/>
    <w:rsid w:val="6A132A85"/>
    <w:rsid w:val="6A390601"/>
    <w:rsid w:val="6A3A487F"/>
    <w:rsid w:val="6A767C06"/>
    <w:rsid w:val="6AC16985"/>
    <w:rsid w:val="6D5D50CF"/>
    <w:rsid w:val="6EDC5B3C"/>
    <w:rsid w:val="7055204A"/>
    <w:rsid w:val="74BA6798"/>
    <w:rsid w:val="755E3466"/>
    <w:rsid w:val="75681589"/>
    <w:rsid w:val="78850FF2"/>
    <w:rsid w:val="78DC4B30"/>
    <w:rsid w:val="79101597"/>
    <w:rsid w:val="79974691"/>
    <w:rsid w:val="7B9D3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12</Pages>
  <Words>5929</Words>
  <Characters>6253</Characters>
  <Lines>0</Lines>
  <Paragraphs>120</Paragraphs>
  <TotalTime>3</TotalTime>
  <ScaleCrop>false</ScaleCrop>
  <LinksUpToDate>false</LinksUpToDate>
  <CharactersWithSpaces>6675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2022-05-12T09:58:00Z</cp:lastPrinted>
  <dcterms:modified xsi:type="dcterms:W3CDTF">2022-05-16T03:10:20Z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C0CB579BE1C94A69A17F27172579E6E3</vt:lpwstr>
  </property>
</Properties>
</file>