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r>
        <w:rPr>
          <w:rFonts w:ascii="黑体" w:eastAsia="黑体"/>
        </w:rPr>
        <w:t>附件</w:t>
      </w:r>
      <w:r>
        <w:rPr>
          <w:rFonts w:hint="eastAsia" w:ascii="黑体" w:eastAsia="黑体"/>
        </w:rPr>
        <w:t>1</w:t>
      </w:r>
    </w:p>
    <w:p>
      <w:pPr>
        <w:spacing w:line="560" w:lineRule="exact"/>
        <w:jc w:val="center"/>
        <w:rPr>
          <w:rFonts w:ascii="仿宋" w:eastAsia="仿宋"/>
          <w:sz w:val="24"/>
        </w:rPr>
      </w:pPr>
      <w:r>
        <w:rPr>
          <w:rFonts w:ascii="仿宋" w:eastAsia="仿宋"/>
          <w:sz w:val="36"/>
          <w:szCs w:val="36"/>
        </w:rPr>
        <w:t>部门整体支出绩效评价指标表</w:t>
      </w:r>
    </w:p>
    <w:tbl>
      <w:tblPr>
        <w:tblStyle w:val="7"/>
        <w:tblW w:w="10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516"/>
        <w:gridCol w:w="456"/>
        <w:gridCol w:w="671"/>
        <w:gridCol w:w="456"/>
        <w:gridCol w:w="1001"/>
        <w:gridCol w:w="456"/>
        <w:gridCol w:w="2964"/>
        <w:gridCol w:w="3424"/>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6"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71"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1001"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296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24"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71"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64"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24"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在职人员控制率=（在职人员数/编制数）×100%，在职人员数：部门（单位）实际在职人数，以财政确定的部门决算编制口径为准。</w:t>
            </w:r>
            <w:r>
              <w:rPr>
                <w:rFonts w:ascii="仿宋" w:eastAsia="仿宋"/>
                <w:sz w:val="24"/>
                <w:szCs w:val="24"/>
              </w:rPr>
              <w:br w:type="textWrapping"/>
            </w:r>
            <w:r>
              <w:rPr>
                <w:rFonts w:ascii="仿宋" w:eastAsia="仿宋"/>
                <w:sz w:val="24"/>
                <w:szCs w:val="24"/>
              </w:rPr>
              <w:t>编制数：机构编制部门核定批复的部门（单位）的人员编制数。</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64"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7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楼堂馆所面积控制率=实际建设面积/批准建设面积×100%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43" w:hRule="atLeast"/>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楼堂馆所投资预算控制率=实际投资金额/批准投资金额×100% 。</w:t>
            </w:r>
            <w:r>
              <w:rPr>
                <w:rFonts w:ascii="仿宋" w:eastAsia="仿宋"/>
                <w:sz w:val="24"/>
                <w:szCs w:val="24"/>
              </w:rPr>
              <w:br w:type="textWrapping"/>
            </w: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56" w:type="dxa"/>
            <w:tcBorders>
              <w:bottom w:val="single" w:color="000000" w:sz="4" w:space="0"/>
              <w:right w:val="single" w:color="000000" w:sz="4" w:space="0"/>
            </w:tcBorders>
            <w:tcMar>
              <w:left w:w="108" w:type="dxa"/>
              <w:right w:w="108" w:type="dxa"/>
            </w:tcMar>
            <w:vAlign w:val="center"/>
          </w:tcPr>
          <w:p>
            <w:pPr>
              <w:widowControl/>
              <w:ind w:firstLine="240" w:firstLineChars="100"/>
              <w:jc w:val="left"/>
              <w:rPr>
                <w:rFonts w:ascii="仿宋" w:eastAsia="仿宋"/>
                <w:sz w:val="24"/>
                <w:szCs w:val="24"/>
              </w:rPr>
            </w:pPr>
            <w:r>
              <w:rPr>
                <w:rFonts w:hint="eastAsia" w:ascii="仿宋" w:eastAsia="仿宋"/>
                <w:sz w:val="24"/>
                <w:szCs w:val="24"/>
                <w:lang w:val="en-US" w:eastAsia="zh-CN"/>
              </w:rPr>
              <w:t>5</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40</w:t>
            </w: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公用经费控制率=（实际支出公用经费总额/预算安排公用经费总额）×100%。</w:t>
            </w:r>
            <w:r>
              <w:rPr>
                <w:rFonts w:ascii="仿宋" w:eastAsia="仿宋"/>
                <w:sz w:val="24"/>
                <w:szCs w:val="24"/>
              </w:rPr>
              <w:br w:type="textWrapping"/>
            </w:r>
            <w:r>
              <w:rPr>
                <w:rFonts w:ascii="仿宋" w:eastAsia="仿宋"/>
                <w:sz w:val="24"/>
                <w:szCs w:val="24"/>
              </w:rPr>
              <w:t>公用经费支出是指部门基本支出中的一般商品和服务支出。</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71"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①有内部财务管理制度、会计核算制度等管理制度，2分；</w:t>
            </w:r>
            <w:r>
              <w:rPr>
                <w:rFonts w:ascii="仿宋" w:eastAsia="仿宋"/>
                <w:sz w:val="24"/>
                <w:szCs w:val="24"/>
              </w:rPr>
              <w:br w:type="textWrapping"/>
            </w:r>
            <w:r>
              <w:rPr>
                <w:rFonts w:ascii="仿宋" w:eastAsia="仿宋"/>
                <w:sz w:val="24"/>
                <w:szCs w:val="24"/>
              </w:rPr>
              <w:t>②有本部门厉行节约制度,2分；</w:t>
            </w:r>
            <w:r>
              <w:rPr>
                <w:rFonts w:ascii="仿宋" w:eastAsia="仿宋"/>
                <w:sz w:val="24"/>
                <w:szCs w:val="24"/>
              </w:rPr>
              <w:br w:type="textWrapping"/>
            </w:r>
            <w:r>
              <w:rPr>
                <w:rFonts w:ascii="仿宋" w:eastAsia="仿宋"/>
                <w:sz w:val="24"/>
                <w:szCs w:val="24"/>
              </w:rPr>
              <w:t>③相关管理制度合法、合规、完整，2分；④相关管理制度得到有效执行，2分。</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仿宋" w:eastAsia="仿宋"/>
                <w:sz w:val="24"/>
                <w:szCs w:val="24"/>
              </w:rPr>
              <w:br w:type="textWrapping"/>
            </w:r>
            <w:r>
              <w:rPr>
                <w:rFonts w:ascii="仿宋" w:eastAsia="仿宋"/>
                <w:sz w:val="24"/>
                <w:szCs w:val="24"/>
              </w:rPr>
              <w:t>以上情况每出现一例不符合要求的扣1分，扣完为止。</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default"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71"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1001"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r>
              <w:rPr>
                <w:rFonts w:ascii="仿宋" w:eastAsia="仿宋"/>
                <w:sz w:val="24"/>
                <w:szCs w:val="24"/>
              </w:rPr>
              <w:br w:type="textWrapping"/>
            </w: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1001"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456" w:type="dxa"/>
            <w:vMerge w:val="restart"/>
            <w:tcBorders>
              <w:left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388" w:type="dxa"/>
            <w:gridSpan w:val="2"/>
            <w:vMerge w:val="restart"/>
            <w:tcBorders>
              <w:top w:val="single" w:color="000000" w:sz="4" w:space="0"/>
              <w:left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56" w:type="dxa"/>
            <w:tcBorders>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456" w:type="dxa"/>
            <w:vMerge w:val="continue"/>
            <w:tcBorders>
              <w:left w:val="single" w:color="000000" w:sz="4" w:space="0"/>
              <w:right w:val="single" w:color="000000" w:sz="4" w:space="0"/>
            </w:tcBorders>
            <w:tcMar>
              <w:left w:w="108" w:type="dxa"/>
              <w:right w:w="108" w:type="dxa"/>
            </w:tcMar>
            <w:vAlign w:val="center"/>
          </w:tcPr>
          <w:p/>
        </w:tc>
        <w:tc>
          <w:tcPr>
            <w:tcW w:w="6388" w:type="dxa"/>
            <w:gridSpan w:val="2"/>
            <w:vMerge w:val="continue"/>
            <w:tcBorders>
              <w:top w:val="single" w:color="000000" w:sz="4" w:space="0"/>
              <w:left w:val="single" w:color="000000" w:sz="4" w:space="0"/>
              <w:right w:val="single" w:color="000000" w:sz="4" w:space="0"/>
            </w:tcBorders>
            <w:tcMar>
              <w:left w:w="108" w:type="dxa"/>
              <w:right w:w="108" w:type="dxa"/>
            </w:tcMar>
            <w:vAlign w:val="center"/>
          </w:tcPr>
          <w:p/>
        </w:tc>
        <w:tc>
          <w:tcPr>
            <w:tcW w:w="656"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64"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24"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56"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hint="eastAsia" w:ascii="仿宋" w:eastAsia="仿宋"/>
                <w:sz w:val="24"/>
                <w:szCs w:val="24"/>
                <w:lang w:val="en-US" w:eastAsia="zh-CN"/>
              </w:rPr>
              <w:t>3</w:t>
            </w:r>
            <w:r>
              <w:rPr>
                <w:rFonts w:ascii="仿宋" w:eastAsia="仿宋"/>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01"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4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90%（含）以上计6分；</w:t>
            </w:r>
            <w:r>
              <w:rPr>
                <w:rFonts w:ascii="仿宋" w:eastAsia="仿宋"/>
                <w:sz w:val="24"/>
                <w:szCs w:val="24"/>
              </w:rPr>
              <w:br w:type="textWrapping"/>
            </w:r>
            <w:r>
              <w:rPr>
                <w:rFonts w:ascii="仿宋" w:eastAsia="仿宋"/>
                <w:sz w:val="24"/>
                <w:szCs w:val="24"/>
              </w:rPr>
              <w:t>80%（含）-90%，计4分；</w:t>
            </w:r>
            <w:r>
              <w:rPr>
                <w:rFonts w:ascii="仿宋" w:eastAsia="仿宋"/>
                <w:sz w:val="24"/>
                <w:szCs w:val="24"/>
              </w:rPr>
              <w:br w:type="textWrapping"/>
            </w:r>
            <w:r>
              <w:rPr>
                <w:rFonts w:ascii="仿宋" w:eastAsia="仿宋"/>
                <w:sz w:val="24"/>
                <w:szCs w:val="24"/>
              </w:rPr>
              <w:t>70%（含）-80%，计2分；</w:t>
            </w:r>
            <w:r>
              <w:rPr>
                <w:rFonts w:ascii="仿宋" w:eastAsia="仿宋"/>
                <w:sz w:val="24"/>
                <w:szCs w:val="24"/>
              </w:rPr>
              <w:br w:type="textWrapping"/>
            </w:r>
            <w:r>
              <w:rPr>
                <w:rFonts w:ascii="仿宋" w:eastAsia="仿宋"/>
                <w:sz w:val="24"/>
                <w:szCs w:val="24"/>
              </w:rPr>
              <w:t>低于70%计0分。</w:t>
            </w:r>
          </w:p>
        </w:tc>
        <w:tc>
          <w:tcPr>
            <w:tcW w:w="342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56"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bl>
    <w:p>
      <w:pPr>
        <w:spacing w:line="560" w:lineRule="exact"/>
        <w:rPr>
          <w:rFonts w:ascii="黑体" w:eastAsia="黑体"/>
          <w:sz w:val="28"/>
          <w:szCs w:val="28"/>
        </w:rPr>
      </w:pPr>
      <w:r>
        <w:rPr>
          <w:rFonts w:ascii="仿宋" w:eastAsia="仿宋"/>
        </w:rPr>
        <w:br w:type="page"/>
      </w:r>
      <w:r>
        <w:rPr>
          <w:rFonts w:ascii="黑体" w:eastAsia="黑体"/>
        </w:rPr>
        <w:t>附件</w:t>
      </w:r>
      <w:r>
        <w:rPr>
          <w:rFonts w:hint="eastAsia" w:ascii="黑体" w:eastAsia="黑体"/>
        </w:rPr>
        <w:t>2</w:t>
      </w:r>
    </w:p>
    <w:p>
      <w:pPr>
        <w:spacing w:line="560" w:lineRule="exact"/>
        <w:jc w:val="center"/>
        <w:rPr>
          <w:rFonts w:ascii="仿宋" w:eastAsia="仿宋"/>
          <w:sz w:val="36"/>
          <w:szCs w:val="36"/>
        </w:rPr>
      </w:pPr>
      <w:r>
        <w:rPr>
          <w:rFonts w:ascii="仿宋" w:eastAsia="仿宋"/>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7"/>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15</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13</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86.7</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2020年决算数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2021年决算数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0.9</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0.8</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lang w:val="en-US" w:eastAsia="zh-CN"/>
              </w:rPr>
            </w:pPr>
            <w:r>
              <w:rPr>
                <w:rFonts w:ascii="仿宋" w:eastAsia="仿宋"/>
                <w:sz w:val="24"/>
              </w:rPr>
              <w:t>　</w:t>
            </w:r>
            <w:r>
              <w:rPr>
                <w:rFonts w:hint="eastAsia" w:ascii="仿宋" w:eastAsia="仿宋"/>
                <w:sz w:val="24"/>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0.9</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0.8</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0.33</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37.34</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41.03</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ascii="仿宋" w:eastAsia="仿宋"/>
                <w:color w:val="FF0000"/>
                <w:sz w:val="24"/>
              </w:rPr>
              <w:t>　</w:t>
            </w:r>
            <w:r>
              <w:rPr>
                <w:rFonts w:hint="eastAsia" w:ascii="仿宋" w:eastAsia="仿宋"/>
                <w:color w:val="FF0000"/>
                <w:sz w:val="24"/>
                <w:lang w:val="en-US" w:eastAsia="zh-CN"/>
              </w:rPr>
              <w:t>6.4</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ascii="仿宋" w:eastAsia="仿宋"/>
                <w:color w:val="FF0000"/>
                <w:sz w:val="24"/>
              </w:rPr>
              <w:t>　</w:t>
            </w:r>
            <w:r>
              <w:rPr>
                <w:rFonts w:hint="eastAsia" w:ascii="仿宋" w:eastAsia="仿宋"/>
                <w:color w:val="FF0000"/>
                <w:sz w:val="24"/>
                <w:lang w:val="en-US" w:eastAsia="zh-CN"/>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 xml:space="preserve">  3.7</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color w:val="FF0000"/>
                <w:sz w:val="24"/>
                <w:lang w:val="en-US" w:eastAsia="zh-CN"/>
              </w:rPr>
            </w:pPr>
            <w:r>
              <w:rPr>
                <w:rFonts w:ascii="仿宋" w:eastAsia="仿宋"/>
                <w:color w:val="FF0000"/>
                <w:sz w:val="24"/>
              </w:rPr>
              <w:t>　</w:t>
            </w:r>
            <w:r>
              <w:rPr>
                <w:rFonts w:hint="eastAsia" w:ascii="仿宋" w:eastAsia="仿宋"/>
                <w:color w:val="FF0000"/>
                <w:sz w:val="24"/>
                <w:lang w:val="en-US" w:eastAsia="zh-CN"/>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楼堂馆所控制情况</w:t>
            </w:r>
            <w:r>
              <w:rPr>
                <w:rFonts w:ascii="仿宋" w:eastAsia="仿宋"/>
                <w:sz w:val="24"/>
              </w:rPr>
              <w:br w:type="textWrapping"/>
            </w:r>
            <w:r>
              <w:rPr>
                <w:rFonts w:ascii="仿宋" w:eastAsia="仿宋"/>
                <w:sz w:val="24"/>
              </w:rPr>
              <w:t>（2021年完工项目）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批复规模</w:t>
            </w:r>
            <w:r>
              <w:rPr>
                <w:rFonts w:ascii="仿宋" w:eastAsia="仿宋"/>
                <w:b/>
                <w:bCs/>
                <w:sz w:val="24"/>
              </w:rPr>
              <w:br w:type="textWrapping"/>
            </w: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spacing w:line="600" w:lineRule="exact"/>
        <w:rPr>
          <w:rFonts w:ascii="仿宋" w:eastAsia="仿宋"/>
          <w:sz w:val="28"/>
          <w:szCs w:val="28"/>
        </w:rPr>
      </w:pPr>
    </w:p>
    <w:p>
      <w:pPr>
        <w:spacing w:line="580" w:lineRule="exact"/>
        <w:rPr>
          <w:rFonts w:ascii="仿宋" w:eastAsia="仿宋"/>
        </w:rPr>
      </w:pPr>
    </w:p>
    <w:p>
      <w:pPr>
        <w:spacing w:line="500" w:lineRule="exact"/>
        <w:rPr>
          <w:rFonts w:ascii="仿宋" w:eastAsia="仿宋"/>
        </w:rPr>
      </w:pPr>
    </w:p>
    <w:p>
      <w:pPr>
        <w:widowControl/>
        <w:ind w:left="93"/>
        <w:jc w:val="left"/>
        <w:rPr>
          <w:rFonts w:hint="eastAsia" w:ascii="黑体" w:eastAsia="黑体"/>
        </w:rPr>
      </w:pPr>
      <w:r>
        <w:rPr>
          <w:rFonts w:hint="eastAsia" w:ascii="黑体" w:eastAsia="黑体"/>
        </w:rPr>
        <w:t>附件3</w:t>
      </w:r>
    </w:p>
    <w:p>
      <w:pPr>
        <w:widowControl/>
        <w:ind w:left="93"/>
        <w:jc w:val="center"/>
        <w:rPr>
          <w:rFonts w:ascii="仿宋" w:eastAsia="仿宋"/>
          <w:sz w:val="36"/>
          <w:szCs w:val="36"/>
        </w:rPr>
      </w:pPr>
      <w:r>
        <w:rPr>
          <w:rFonts w:hint="eastAsia" w:ascii="仿宋" w:eastAsia="仿宋"/>
          <w:sz w:val="36"/>
          <w:szCs w:val="36"/>
        </w:rPr>
        <w:t>县</w:t>
      </w:r>
      <w:r>
        <w:rPr>
          <w:rFonts w:ascii="仿宋" w:eastAsia="仿宋"/>
          <w:sz w:val="36"/>
          <w:szCs w:val="36"/>
        </w:rPr>
        <w:t>级财政专项资金绩效评价共性指标表</w:t>
      </w:r>
    </w:p>
    <w:p>
      <w:pPr>
        <w:widowControl/>
        <w:tabs>
          <w:tab w:val="left" w:pos="833"/>
          <w:tab w:val="left" w:pos="1533"/>
          <w:tab w:val="left" w:pos="2533"/>
          <w:tab w:val="left" w:pos="4833"/>
        </w:tabs>
        <w:ind w:left="93"/>
        <w:jc w:val="left"/>
        <w:rPr>
          <w:rFonts w:ascii="仿宋" w:eastAsia="仿宋"/>
          <w:sz w:val="24"/>
        </w:rPr>
      </w:pPr>
    </w:p>
    <w:tbl>
      <w:tblPr>
        <w:tblStyle w:val="7"/>
        <w:tblW w:w="100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41"/>
        <w:gridCol w:w="804"/>
        <w:gridCol w:w="1056"/>
        <w:gridCol w:w="2464"/>
        <w:gridCol w:w="4364"/>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48" w:hRule="atLeast"/>
          <w:tblHeader/>
          <w:jc w:val="center"/>
        </w:trPr>
        <w:tc>
          <w:tcPr>
            <w:tcW w:w="741" w:type="dxa"/>
            <w:tcBorders>
              <w:top w:val="single" w:color="000000" w:sz="4" w:space="0"/>
              <w:left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一级</w:t>
            </w:r>
          </w:p>
        </w:tc>
        <w:tc>
          <w:tcPr>
            <w:tcW w:w="804" w:type="dxa"/>
            <w:tcBorders>
              <w:top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二级</w:t>
            </w:r>
          </w:p>
        </w:tc>
        <w:tc>
          <w:tcPr>
            <w:tcW w:w="10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三级指标</w:t>
            </w:r>
          </w:p>
        </w:tc>
        <w:tc>
          <w:tcPr>
            <w:tcW w:w="2465"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指标解释</w:t>
            </w:r>
          </w:p>
        </w:tc>
        <w:tc>
          <w:tcPr>
            <w:tcW w:w="436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指标说明</w:t>
            </w:r>
          </w:p>
        </w:tc>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eastAsia="仿宋"/>
                <w:b/>
                <w:bCs/>
                <w:sz w:val="20"/>
                <w:szCs w:val="20"/>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0" w:hRule="atLeast"/>
          <w:tblHeader/>
          <w:jc w:val="center"/>
        </w:trPr>
        <w:tc>
          <w:tcPr>
            <w:tcW w:w="741"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80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0"/>
                <w:szCs w:val="20"/>
              </w:rPr>
            </w:pPr>
            <w:r>
              <w:rPr>
                <w:rFonts w:ascii="仿宋" w:eastAsia="仿宋"/>
                <w:b/>
                <w:bCs/>
                <w:sz w:val="20"/>
                <w:szCs w:val="20"/>
              </w:rPr>
              <w:t>指标</w:t>
            </w:r>
          </w:p>
        </w:tc>
        <w:tc>
          <w:tcPr>
            <w:tcW w:w="677"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496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853" w:type="dxa"/>
            <w:vMerge w:val="continue"/>
            <w:tcBorders>
              <w:top w:val="single" w:color="000000" w:sz="4" w:space="0"/>
              <w:left w:val="single" w:color="000000" w:sz="4" w:space="0"/>
              <w:bottom w:val="single" w:color="000000" w:sz="4" w:space="0"/>
              <w:right w:val="single" w:color="000000"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投入</w:t>
            </w:r>
          </w:p>
          <w:p>
            <w:pPr>
              <w:widowControl/>
              <w:spacing w:line="280" w:lineRule="exact"/>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w:t>
            </w:r>
          </w:p>
          <w:p>
            <w:pPr>
              <w:widowControl/>
              <w:spacing w:line="280" w:lineRule="exact"/>
              <w:jc w:val="center"/>
              <w:rPr>
                <w:rFonts w:ascii="仿宋" w:eastAsia="仿宋"/>
                <w:sz w:val="22"/>
                <w:szCs w:val="22"/>
              </w:rPr>
            </w:pPr>
            <w:r>
              <w:rPr>
                <w:rFonts w:ascii="仿宋" w:eastAsia="仿宋"/>
                <w:sz w:val="22"/>
                <w:szCs w:val="22"/>
              </w:rPr>
              <w:t>（12分）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项目立项规范性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项目的申请、设立过程是否符合相关要求，用以反映和考核项目立项的规范情况。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①项目是否按照规定的程序申请设立；</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②所提交的文件、材料是否符合相关要求；</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③事前是否已经过必要的可行性研究、专家论证、风险评估、集体决策等。</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绩效目标合理性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项目所设定的绩效目标是否依椐充分，是否符合客观实际，用以反映和考核项目绩效目标与项目实施的相符情况。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①是否符合国家相关法律法规，国民经济发展规划和党委政府决策；</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②是否与项目实施单位或委托单位职责密切相关；</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③项目是否为促进事业发展所必需；</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④项目顸期产出效益和效果是否符合正常的业绩水平。</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绩效指标明确性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依椐绩效目标设定的绩效指标是否清晰、细化、可衡量等，用以反映和考核项目绩效目标的明细化情况。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①是否将项目绩效目标细化分解为具体的绩效指标；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②是否通过清晰、可衡量的指标值予以体现；</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③是否与项目年度任务</w:t>
            </w:r>
            <w:r>
              <w:rPr>
                <w:rFonts w:hint="eastAsia" w:ascii="仿宋" w:eastAsia="仿宋"/>
                <w:sz w:val="24"/>
                <w:szCs w:val="24"/>
              </w:rPr>
              <w:t>数</w:t>
            </w:r>
            <w:r>
              <w:rPr>
                <w:rFonts w:ascii="仿宋" w:eastAsia="仿宋"/>
                <w:sz w:val="24"/>
                <w:szCs w:val="24"/>
              </w:rPr>
              <w:t>或计划数相对应；</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④是否与预期确定的项目投资额或资金量相匹配。</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资金落实</w:t>
            </w:r>
          </w:p>
          <w:p>
            <w:pPr>
              <w:widowControl/>
              <w:spacing w:line="280" w:lineRule="exact"/>
              <w:jc w:val="center"/>
              <w:rPr>
                <w:rFonts w:ascii="仿宋" w:eastAsia="仿宋"/>
                <w:sz w:val="22"/>
                <w:szCs w:val="22"/>
              </w:rPr>
            </w:pPr>
            <w:r>
              <w:rPr>
                <w:rFonts w:ascii="仿宋" w:eastAsia="仿宋"/>
                <w:sz w:val="22"/>
                <w:szCs w:val="22"/>
              </w:rPr>
              <w:t>（8分）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资金到位率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实际到位资金与计划投入资金的比率，用以反映和考核资金落实情况对项目实施的总体保障程度。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资金到位率=（实际到位资金/计划投入资金）×100%。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实际到位资金：一定时期（本年度或项目期）内实际落实到具体项目的资金。</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计划投入资金：一定时期（本年度或项目期）内计划投入到具体项目的资金。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到位及时率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及时到位资金与应到位资金的比率，用以反映和考核项目资金落实的及时性程度。</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到位及时率＝（及时到位资金/应到位资金）×100%。</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及时到位资金：截至规定时点实际落实到具体项目的资金。</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64"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应到位资金：按照合同或项目进度要求截至规定时点应落实到具体项目的资金。</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4" w:hRule="atLeast"/>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过程</w:t>
            </w:r>
          </w:p>
          <w:p>
            <w:pPr>
              <w:widowControl/>
              <w:spacing w:line="280" w:lineRule="exact"/>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业务管理</w:t>
            </w:r>
          </w:p>
          <w:p>
            <w:pPr>
              <w:widowControl/>
              <w:spacing w:line="280" w:lineRule="exact"/>
              <w:jc w:val="center"/>
              <w:rPr>
                <w:rFonts w:ascii="仿宋" w:eastAsia="仿宋"/>
                <w:sz w:val="22"/>
                <w:szCs w:val="22"/>
              </w:rPr>
            </w:pPr>
            <w:r>
              <w:rPr>
                <w:rFonts w:ascii="仿宋" w:eastAsia="仿宋"/>
                <w:sz w:val="22"/>
                <w:szCs w:val="22"/>
              </w:rPr>
              <w:t>（10分）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项目实施单位的业务管理制度是否健全，用以反映和考核业务管理制度对项目顺利实施的保障情况。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①是否已制定或具有相应的业务管理制度；</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836"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②业务管理制度是否合法、合规、完整。</w:t>
            </w: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jc w:val="center"/>
              <w:rPr>
                <w:rFonts w:ascii="仿宋" w:eastAsia="仿宋"/>
                <w:sz w:val="22"/>
                <w:szCs w:val="22"/>
              </w:rPr>
            </w:pPr>
            <w:r>
              <w:rPr>
                <w:rFonts w:ascii="仿宋" w:eastAsia="仿宋"/>
                <w:sz w:val="22"/>
                <w:szCs w:val="22"/>
              </w:rPr>
              <w:t>制度执行有效性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项目实施是否符合相关业务管理规定，用以反映和考核业务管理制度的有效执行情况。</w:t>
            </w: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①是否遵守相关法律法规和业务管理规定；</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②项目调整及支出调整手续是否完备；</w:t>
            </w:r>
          </w:p>
        </w:tc>
        <w:tc>
          <w:tcPr>
            <w:tcW w:w="618" w:type="dxa"/>
            <w:tcBorders>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63"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③项目合同书、验收报告、技术审定等资料是否齐全并及时归档;</w:t>
            </w:r>
          </w:p>
        </w:tc>
        <w:tc>
          <w:tcPr>
            <w:tcW w:w="618" w:type="dxa"/>
            <w:tcBorders>
              <w:right w:val="single" w:color="000000" w:sz="4" w:space="0"/>
            </w:tcBorders>
            <w:vAlign w:val="center"/>
          </w:tcPr>
          <w:p>
            <w:pPr>
              <w:widowControl/>
              <w:spacing w:line="280" w:lineRule="exact"/>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spacing w:line="280" w:lineRule="exact"/>
              <w:rPr>
                <w:rFonts w:ascii="仿宋" w:eastAsia="仿宋"/>
                <w:sz w:val="24"/>
                <w:szCs w:val="24"/>
              </w:rPr>
            </w:pPr>
            <w:r>
              <w:rPr>
                <w:rFonts w:ascii="仿宋" w:eastAsia="仿宋"/>
                <w:sz w:val="24"/>
                <w:szCs w:val="24"/>
              </w:rPr>
              <w:t>④项目实施的人员条件、场地设备，信息支撑等是否落实到位。</w:t>
            </w:r>
          </w:p>
          <w:p>
            <w:pPr>
              <w:widowControl/>
              <w:spacing w:line="280" w:lineRule="exact"/>
              <w:rPr>
                <w:rFonts w:ascii="仿宋" w:eastAsia="仿宋"/>
                <w:sz w:val="24"/>
                <w:szCs w:val="24"/>
              </w:rPr>
            </w:pPr>
          </w:p>
        </w:tc>
        <w:tc>
          <w:tcPr>
            <w:tcW w:w="618" w:type="dxa"/>
            <w:tcBorders>
              <w:bottom w:val="single" w:color="000000" w:sz="4" w:space="0"/>
              <w:right w:val="single" w:color="000000" w:sz="4" w:space="0"/>
            </w:tcBorders>
            <w:vAlign w:val="center"/>
          </w:tcPr>
          <w:p>
            <w:pPr>
              <w:widowControl/>
              <w:spacing w:line="280" w:lineRule="exac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仿宋" w:eastAsia="仿宋"/>
                <w:sz w:val="22"/>
                <w:szCs w:val="22"/>
              </w:rPr>
            </w:pPr>
            <w:r>
              <w:rPr>
                <w:rFonts w:ascii="仿宋" w:eastAsia="仿宋"/>
                <w:sz w:val="22"/>
                <w:szCs w:val="22"/>
              </w:rPr>
              <w:t>过程</w:t>
            </w:r>
          </w:p>
          <w:p>
            <w:pPr>
              <w:jc w:val="center"/>
              <w:rPr>
                <w:rFonts w:ascii="仿宋" w:eastAsia="仿宋"/>
                <w:sz w:val="22"/>
                <w:szCs w:val="22"/>
              </w:rPr>
            </w:pPr>
            <w:r>
              <w:rPr>
                <w:rFonts w:ascii="仿宋" w:eastAsia="仿宋"/>
                <w:sz w:val="22"/>
                <w:szCs w:val="22"/>
              </w:rPr>
              <w:t>（30分）</w:t>
            </w:r>
          </w:p>
        </w:tc>
        <w:tc>
          <w:tcPr>
            <w:tcW w:w="804"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2"/>
                <w:szCs w:val="22"/>
              </w:rPr>
            </w:pPr>
            <w:r>
              <w:rPr>
                <w:rFonts w:ascii="仿宋" w:eastAsia="仿宋"/>
                <w:sz w:val="22"/>
                <w:szCs w:val="22"/>
              </w:rPr>
              <w:t>业务管理</w:t>
            </w:r>
          </w:p>
          <w:p>
            <w:pPr>
              <w:jc w:val="left"/>
              <w:rPr>
                <w:rFonts w:ascii="仿宋" w:eastAsia="仿宋"/>
                <w:sz w:val="22"/>
                <w:szCs w:val="22"/>
              </w:rPr>
            </w:p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项目质量可控性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项目实施单位是否为达到项目质量要求而采取了必需的措施，用以反映和考核项目实施单位对项目质量的控制情况。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①是否已制定或其有相应的项目质量要求或标准；</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②是否采取了相应的项目质量检查、验收等必需的控制措施或手段。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财务管理</w:t>
            </w:r>
          </w:p>
          <w:p>
            <w:pPr>
              <w:widowControl/>
              <w:jc w:val="center"/>
              <w:rPr>
                <w:rFonts w:ascii="仿宋" w:eastAsia="仿宋"/>
                <w:sz w:val="22"/>
                <w:szCs w:val="22"/>
              </w:rPr>
            </w:pPr>
            <w:r>
              <w:rPr>
                <w:rFonts w:ascii="仿宋" w:eastAsia="仿宋"/>
                <w:sz w:val="22"/>
                <w:szCs w:val="22"/>
              </w:rPr>
              <w:t>（20分）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管理制度健全性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项目实施单位的财务制度是否健全，用以反映和考核财务管理制度对资金规范安全运行的保障情况。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①是否已制定或具有相应的项目资金管理办法；</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②项目资金管理办法是否符合相关财务会计制度的规定。</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资金使用合规性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项目资金使用是否符合相关的财务管理制度规定，用以反映和考核项目资金的规范运行情况。</w:t>
            </w: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①是否符合国家财经法规和财务管理以及有关专项资金管理办法的规定；</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②资金的拨付是否有完整的审批程序和手续；</w:t>
            </w:r>
          </w:p>
        </w:tc>
        <w:tc>
          <w:tcPr>
            <w:tcW w:w="618" w:type="dxa"/>
            <w:tcBorders>
              <w:right w:val="single" w:color="000000" w:sz="4" w:space="0"/>
            </w:tcBorders>
            <w:vAlign w:val="center"/>
          </w:tcPr>
          <w:p>
            <w:pPr>
              <w:widowControl/>
              <w:rPr>
                <w:rFonts w:hint="default"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③项目的重大开支是否经过评估认证；</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④是否符合项目预算批复或合同规定的用途；</w:t>
            </w:r>
          </w:p>
        </w:tc>
        <w:tc>
          <w:tcPr>
            <w:tcW w:w="618" w:type="dxa"/>
            <w:tcBorders>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⑤是否存在截留、挤占、挪用、虚列支出等情况。</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财务监控有效性</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项目实施单位是否为保障资金的安全、规范运行而采取了必要的监控措施，用以反映和考核项目实施单位对资金运行的控制情况。</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评价要点：</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①是否已制定或具有相应的监控机制；</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②是否采取了相应的财务检查等必要的监控措施或手段。</w:t>
            </w:r>
          </w:p>
        </w:tc>
        <w:tc>
          <w:tcPr>
            <w:tcW w:w="618" w:type="dxa"/>
            <w:tcBorders>
              <w:bottom w:val="single" w:color="000000" w:sz="4" w:space="0"/>
              <w:right w:val="single" w:color="000000" w:sz="4" w:space="0"/>
            </w:tcBorders>
            <w:vAlign w:val="center"/>
          </w:tcPr>
          <w:p>
            <w:pPr>
              <w:widowControl/>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产出</w:t>
            </w:r>
          </w:p>
          <w:p>
            <w:pPr>
              <w:widowControl/>
              <w:jc w:val="center"/>
              <w:rPr>
                <w:rFonts w:ascii="仿宋" w:eastAsia="仿宋"/>
                <w:sz w:val="22"/>
                <w:szCs w:val="22"/>
              </w:rPr>
            </w:pPr>
            <w:r>
              <w:rPr>
                <w:rFonts w:ascii="仿宋" w:eastAsia="仿宋"/>
                <w:sz w:val="22"/>
                <w:szCs w:val="22"/>
              </w:rPr>
              <w:t>（30分）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项目产出</w:t>
            </w:r>
          </w:p>
          <w:p>
            <w:pPr>
              <w:widowControl/>
              <w:jc w:val="center"/>
              <w:rPr>
                <w:rFonts w:ascii="仿宋" w:eastAsia="仿宋"/>
                <w:sz w:val="22"/>
                <w:szCs w:val="22"/>
              </w:rPr>
            </w:pPr>
            <w:r>
              <w:rPr>
                <w:rFonts w:ascii="仿宋" w:eastAsia="仿宋"/>
                <w:sz w:val="22"/>
                <w:szCs w:val="22"/>
              </w:rPr>
              <w:t>（30分）</w:t>
            </w: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实际完成率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项目实施的实际产出数与计划产出数的比率，用以反映和考核项目产出数量目标的实现程度。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实际完成率＝（实际产出数/计划产出数）×100%。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实际产出数：一定时期（本年度或项目期）内项目实际产出的产品或提供的服务数。</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07"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计划产出数：项目绩效目标确定的在一定时期（本年度或项目期）内计划产出的产品或提供的服务数量。</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完成及时率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项目实际提前完成时间与计划完成时间的比率，用以反映和考核项目产出时效目标的实现程度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完成及时率[ (计划完成时间-实际完成时间）/计划完成时间]</w:t>
            </w:r>
            <w:r>
              <w:rPr>
                <w:rFonts w:hint="eastAsia" w:ascii="宋体" w:hAnsi="宋体" w:cs="宋体"/>
                <w:sz w:val="24"/>
                <w:szCs w:val="24"/>
              </w:rPr>
              <w:t> </w:t>
            </w:r>
            <w:r>
              <w:rPr>
                <w:rFonts w:ascii="仿宋" w:eastAsia="仿宋"/>
                <w:sz w:val="24"/>
                <w:szCs w:val="24"/>
              </w:rPr>
              <w:t>×100%。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实际完成时间：项目实施单位完成该项目实际所耗用的时间。</w:t>
            </w:r>
          </w:p>
        </w:tc>
        <w:tc>
          <w:tcPr>
            <w:tcW w:w="618" w:type="dxa"/>
            <w:tcBorders>
              <w:right w:val="single" w:color="000000" w:sz="4" w:space="0"/>
            </w:tcBorders>
            <w:vAlign w:val="center"/>
          </w:tcPr>
          <w:p>
            <w:pPr>
              <w:widowControl/>
              <w:jc w:val="left"/>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41" w:hRule="atLeas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计划完成时间：</w:t>
            </w:r>
            <w:r>
              <w:rPr>
                <w:rFonts w:hint="eastAsia" w:ascii="仿宋" w:eastAsia="仿宋"/>
                <w:sz w:val="24"/>
                <w:szCs w:val="24"/>
              </w:rPr>
              <w:t>按</w:t>
            </w:r>
            <w:r>
              <w:rPr>
                <w:rFonts w:ascii="仿宋" w:eastAsia="仿宋"/>
                <w:sz w:val="24"/>
                <w:szCs w:val="24"/>
              </w:rPr>
              <w:t>照项目实施计划或相关规定完成该项目所需的时间。</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质量达标率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项目完成的质量达标产出数与实际产出数的比率，用以反映和考核项目产出质量目标的实现程度。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质量达标率＝（质量达标产出数/实际产出数）/100%。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质量达标产出数：一定时期（本年度或项目期）内实际达到既定质量标准的产品或服务数量。</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21" w:hRule="exact"/>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既定质量标准是指项目实施单位设立绩效目标时依据计划标准、行业标准、历史标准或其他标准而设定的绩效指标值。</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成本节约率</w:t>
            </w:r>
          </w:p>
        </w:tc>
        <w:tc>
          <w:tcPr>
            <w:tcW w:w="2465"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完成项目计划工作目标的实际节约成本与计划成本的比率，用以反映和考核项目的成本节约程度。</w:t>
            </w: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成本节约率＝(计划成本-实际成本)</w:t>
            </w:r>
            <w:r>
              <w:rPr>
                <w:rFonts w:hint="eastAsia" w:ascii="宋体" w:hAnsi="宋体" w:cs="宋体"/>
                <w:sz w:val="24"/>
                <w:szCs w:val="24"/>
              </w:rPr>
              <w:t> </w:t>
            </w:r>
            <w:r>
              <w:rPr>
                <w:rFonts w:ascii="仿宋" w:eastAsia="仿宋"/>
                <w:sz w:val="24"/>
                <w:szCs w:val="24"/>
              </w:rPr>
              <w:t>/计划成本×100%。</w:t>
            </w:r>
          </w:p>
        </w:tc>
        <w:tc>
          <w:tcPr>
            <w:tcW w:w="618" w:type="dxa"/>
            <w:tcBorders>
              <w:right w:val="single" w:color="000000" w:sz="4" w:space="0"/>
            </w:tcBorders>
            <w:vAlign w:val="center"/>
          </w:tcPr>
          <w:p>
            <w:pPr>
              <w:widowControl/>
              <w:jc w:val="left"/>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实际成本：项目实施单位如期、保质、保量完成既定工作目标实际所耗费的支出。</w:t>
            </w:r>
          </w:p>
        </w:tc>
        <w:tc>
          <w:tcPr>
            <w:tcW w:w="618" w:type="dxa"/>
            <w:tcBorders>
              <w:right w:val="single" w:color="000000" w:sz="4" w:space="0"/>
            </w:tcBorders>
            <w:vAlign w:val="center"/>
          </w:tcPr>
          <w:p>
            <w:pPr>
              <w:widowControl/>
              <w:jc w:val="left"/>
              <w:rPr>
                <w:rFonts w:hint="default" w:ascii="仿宋" w:eastAsia="仿宋"/>
                <w:sz w:val="24"/>
                <w:szCs w:val="24"/>
                <w:lang w:val="en-US" w:eastAsia="zh-CN"/>
              </w:rPr>
            </w:pPr>
            <w:r>
              <w:rPr>
                <w:rFonts w:hint="eastAsia" w:ascii="仿宋" w:eastAsia="仿宋"/>
                <w:sz w:val="24"/>
                <w:szCs w:val="24"/>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77"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230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计划成本：项目实施单位为完成工作目标计划安排的支出，一般以项目预算为参考。</w:t>
            </w:r>
          </w:p>
        </w:tc>
        <w:tc>
          <w:tcPr>
            <w:tcW w:w="618" w:type="dxa"/>
            <w:tcBorders>
              <w:bottom w:val="single" w:color="000000" w:sz="4" w:space="0"/>
              <w:right w:val="single" w:color="000000" w:sz="4" w:space="0"/>
            </w:tcBorders>
            <w:vAlign w:val="center"/>
          </w:tcPr>
          <w:p>
            <w:pPr>
              <w:widowControl/>
              <w:rPr>
                <w:rFonts w:ascii="仿宋" w:eastAsia="仿宋"/>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74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效果</w:t>
            </w:r>
          </w:p>
          <w:p>
            <w:pPr>
              <w:widowControl/>
              <w:jc w:val="center"/>
              <w:rPr>
                <w:rFonts w:ascii="仿宋" w:eastAsia="仿宋"/>
                <w:sz w:val="22"/>
                <w:szCs w:val="22"/>
              </w:rPr>
            </w:pPr>
            <w:r>
              <w:rPr>
                <w:rFonts w:ascii="仿宋" w:eastAsia="仿宋"/>
                <w:sz w:val="22"/>
                <w:szCs w:val="22"/>
              </w:rPr>
              <w:t>（20分）</w:t>
            </w:r>
          </w:p>
        </w:tc>
        <w:tc>
          <w:tcPr>
            <w:tcW w:w="80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项目效益</w:t>
            </w:r>
          </w:p>
          <w:p>
            <w:pPr>
              <w:widowControl/>
              <w:jc w:val="center"/>
              <w:rPr>
                <w:rFonts w:ascii="仿宋" w:eastAsia="仿宋"/>
                <w:sz w:val="22"/>
                <w:szCs w:val="22"/>
              </w:rPr>
            </w:pPr>
            <w:r>
              <w:rPr>
                <w:rFonts w:ascii="仿宋" w:eastAsia="仿宋"/>
                <w:sz w:val="22"/>
                <w:szCs w:val="22"/>
              </w:rPr>
              <w:t>（20分）</w:t>
            </w: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经济效益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项目实施对经济发展所带来的直接或间接影响情况。</w:t>
            </w:r>
          </w:p>
        </w:tc>
        <w:tc>
          <w:tcPr>
            <w:tcW w:w="4364"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此四项指标为设置项目支出績效评价指标时必须考虑的共性要素，可根据项目实际并结合绩效目标设立情况有选择的进行设置，并将其细化为相应的个性化指标。</w:t>
            </w:r>
          </w:p>
        </w:tc>
        <w:tc>
          <w:tcPr>
            <w:tcW w:w="618" w:type="dxa"/>
            <w:tcBorders>
              <w:left w:val="single" w:color="000000" w:sz="4" w:space="0"/>
              <w:bottom w:val="single" w:color="000000" w:sz="4" w:space="0"/>
              <w:right w:val="single" w:color="000000" w:sz="4" w:space="0"/>
            </w:tcBorders>
            <w:vAlign w:val="center"/>
          </w:tcPr>
          <w:p>
            <w:pPr>
              <w:widowControl/>
              <w:rPr>
                <w:rFonts w:hint="eastAsia" w:ascii="仿宋" w:eastAsia="仿宋"/>
                <w:sz w:val="24"/>
                <w:szCs w:val="24"/>
                <w:lang w:val="en-US" w:eastAsia="zh-CN"/>
              </w:rPr>
            </w:pP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项目实施对社会发展所带来的直接或间接影响情况。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eastAsia" w:eastAsia="仿宋_GB2312"/>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生态效益</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项目实施对生态环境所带来的直接或间接影响情况。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eastAsia" w:eastAsia="仿宋_GB2312"/>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可持续影响</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项目后续运行及成效发挥的可持续影响情况。</w:t>
            </w:r>
          </w:p>
        </w:tc>
        <w:tc>
          <w:tcPr>
            <w:tcW w:w="496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18" w:type="dxa"/>
            <w:tcBorders>
              <w:left w:val="single" w:color="000000" w:sz="4" w:space="0"/>
              <w:bottom w:val="single" w:color="000000" w:sz="4" w:space="0"/>
              <w:right w:val="single" w:color="000000" w:sz="4" w:space="0"/>
            </w:tcBorders>
            <w:vAlign w:val="center"/>
          </w:tcPr>
          <w:p>
            <w:pPr>
              <w:rPr>
                <w:rFonts w:hint="eastAsia" w:eastAsia="仿宋_GB2312"/>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99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9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056"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2"/>
                <w:szCs w:val="22"/>
              </w:rPr>
            </w:pPr>
            <w:r>
              <w:rPr>
                <w:rFonts w:ascii="仿宋" w:eastAsia="仿宋"/>
                <w:sz w:val="22"/>
                <w:szCs w:val="22"/>
              </w:rPr>
              <w:t>社会公众或服务对象满意度</w:t>
            </w:r>
          </w:p>
        </w:tc>
        <w:tc>
          <w:tcPr>
            <w:tcW w:w="2465"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社会公众或服务对象对项目实施效策的满意程度</w:t>
            </w:r>
          </w:p>
        </w:tc>
        <w:tc>
          <w:tcPr>
            <w:tcW w:w="4364" w:type="dxa"/>
            <w:tcBorders>
              <w:bottom w:val="single" w:color="000000" w:sz="4" w:space="0"/>
              <w:right w:val="single" w:color="000000" w:sz="4" w:space="0"/>
            </w:tcBorders>
            <w:tcMar>
              <w:left w:w="108" w:type="dxa"/>
              <w:right w:w="108" w:type="dxa"/>
            </w:tcMar>
            <w:vAlign w:val="center"/>
          </w:tcPr>
          <w:p>
            <w:pPr>
              <w:widowControl/>
              <w:rPr>
                <w:rFonts w:ascii="仿宋" w:eastAsia="仿宋"/>
                <w:sz w:val="24"/>
                <w:szCs w:val="24"/>
              </w:rPr>
            </w:pPr>
            <w:r>
              <w:rPr>
                <w:rFonts w:ascii="仿宋" w:eastAsia="仿宋"/>
                <w:sz w:val="24"/>
                <w:szCs w:val="24"/>
              </w:rPr>
              <w:t>社会公众或服务对象是指因该项目实施而受到影响的部门(单位)、群体或个人。一般采取社会调查的方式。</w:t>
            </w:r>
          </w:p>
        </w:tc>
        <w:tc>
          <w:tcPr>
            <w:tcW w:w="618" w:type="dxa"/>
            <w:tcBorders>
              <w:bottom w:val="single" w:color="000000" w:sz="4" w:space="0"/>
              <w:right w:val="single" w:color="000000" w:sz="4" w:space="0"/>
            </w:tcBorders>
            <w:vAlign w:val="center"/>
          </w:tcPr>
          <w:p>
            <w:pPr>
              <w:widowControl/>
              <w:rPr>
                <w:rFonts w:hint="eastAsia" w:ascii="仿宋" w:eastAsia="仿宋"/>
                <w:sz w:val="24"/>
                <w:szCs w:val="24"/>
                <w:lang w:val="en-US" w:eastAsia="zh-CN"/>
              </w:rPr>
            </w:pPr>
            <w:r>
              <w:rPr>
                <w:rFonts w:hint="eastAsia" w:ascii="仿宋" w:eastAsia="仿宋"/>
                <w:sz w:val="24"/>
                <w:szCs w:val="24"/>
                <w:lang w:val="en-US" w:eastAsia="zh-CN"/>
              </w:rPr>
              <w:t>9</w:t>
            </w:r>
          </w:p>
        </w:tc>
      </w:tr>
    </w:tbl>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p>
    <w:p>
      <w:pPr>
        <w:widowControl/>
        <w:ind w:left="93"/>
        <w:jc w:val="left"/>
        <w:rPr>
          <w:rFonts w:hint="eastAsia" w:ascii="黑体" w:eastAsia="黑体"/>
        </w:rPr>
      </w:pPr>
      <w:r>
        <w:rPr>
          <w:rFonts w:hint="eastAsia" w:ascii="黑体" w:eastAsia="黑体"/>
        </w:rPr>
        <w:t>附件</w:t>
      </w:r>
      <w:r>
        <w:rPr>
          <w:rFonts w:ascii="黑体" w:eastAsia="黑体"/>
        </w:rPr>
        <w:t>4</w:t>
      </w:r>
    </w:p>
    <w:p>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eastAsia="仿宋_GB2312"/>
          <w:b/>
          <w:bCs/>
          <w:sz w:val="44"/>
          <w:szCs w:val="44"/>
          <w:lang w:val="en-US" w:eastAsia="zh-CN"/>
        </w:rPr>
      </w:pPr>
      <w:r>
        <w:rPr>
          <w:rFonts w:hint="eastAsia"/>
          <w:b/>
          <w:bCs/>
          <w:sz w:val="44"/>
          <w:szCs w:val="44"/>
        </w:rPr>
        <w:t>2021年麻阳</w:t>
      </w:r>
      <w:r>
        <w:rPr>
          <w:rFonts w:hint="eastAsia"/>
          <w:b/>
          <w:bCs/>
          <w:sz w:val="44"/>
          <w:szCs w:val="44"/>
          <w:lang w:eastAsia="zh-CN"/>
        </w:rPr>
        <w:t>苗族自治县档案馆</w:t>
      </w:r>
    </w:p>
    <w:p>
      <w:pPr>
        <w:keepNext w:val="0"/>
        <w:keepLines w:val="0"/>
        <w:pageBreakBefore w:val="0"/>
        <w:kinsoku/>
        <w:wordWrap/>
        <w:overflowPunct/>
        <w:topLinePunct w:val="0"/>
        <w:autoSpaceDE/>
        <w:autoSpaceDN/>
        <w:bidi w:val="0"/>
        <w:adjustRightInd/>
        <w:snapToGrid/>
        <w:spacing w:line="640" w:lineRule="exact"/>
        <w:jc w:val="center"/>
        <w:textAlignment w:val="auto"/>
        <w:rPr>
          <w:b/>
          <w:bCs/>
          <w:sz w:val="44"/>
          <w:szCs w:val="44"/>
        </w:rPr>
      </w:pPr>
      <w:r>
        <w:rPr>
          <w:rFonts w:hint="eastAsia"/>
          <w:b/>
          <w:bCs/>
          <w:sz w:val="44"/>
          <w:szCs w:val="44"/>
        </w:rPr>
        <w:t>部门整体支出绩效自评报告</w:t>
      </w:r>
    </w:p>
    <w:p>
      <w:pPr>
        <w:spacing w:line="580" w:lineRule="exact"/>
        <w:contextualSpacing/>
        <w:jc w:val="center"/>
      </w:pPr>
    </w:p>
    <w:p>
      <w:pPr>
        <w:spacing w:line="580" w:lineRule="exact"/>
        <w:contextualSpacing/>
      </w:pPr>
    </w:p>
    <w:p>
      <w:pPr>
        <w:spacing w:line="580" w:lineRule="exact"/>
        <w:ind w:firstLine="643" w:firstLineChars="200"/>
        <w:contextualSpacing/>
        <w:rPr>
          <w:b/>
          <w:bCs/>
        </w:rPr>
      </w:pPr>
      <w:r>
        <w:rPr>
          <w:b/>
          <w:bCs/>
        </w:rPr>
        <w:t>一、机构编制人员情况</w:t>
      </w:r>
    </w:p>
    <w:p>
      <w:pPr>
        <w:spacing w:line="580" w:lineRule="exact"/>
        <w:ind w:firstLine="640" w:firstLineChars="200"/>
        <w:contextualSpacing/>
      </w:pPr>
      <w:r>
        <w:rPr>
          <w:rFonts w:hint="eastAsia"/>
          <w:lang w:eastAsia="zh-CN"/>
        </w:rPr>
        <w:t>县档案馆</w:t>
      </w:r>
      <w:r>
        <w:rPr>
          <w:rFonts w:hint="eastAsia"/>
        </w:rPr>
        <w:t>为全额拨款参照公务员管理事业单位。</w:t>
      </w:r>
      <w:r>
        <w:t>本单位业务股室</w:t>
      </w:r>
      <w:r>
        <w:rPr>
          <w:rFonts w:hint="eastAsia"/>
          <w:lang w:val="en-US" w:eastAsia="zh-CN"/>
        </w:rPr>
        <w:t>4</w:t>
      </w:r>
      <w:r>
        <w:t>个，共有</w:t>
      </w:r>
      <w:r>
        <w:rPr>
          <w:rFonts w:hint="eastAsia"/>
          <w:lang w:eastAsia="zh-CN"/>
        </w:rPr>
        <w:t>参公</w:t>
      </w:r>
      <w:r>
        <w:t>事业编制</w:t>
      </w:r>
      <w:r>
        <w:rPr>
          <w:rFonts w:hint="eastAsia"/>
          <w:lang w:val="en-US" w:eastAsia="zh-CN"/>
        </w:rPr>
        <w:t>15</w:t>
      </w:r>
      <w:r>
        <w:t>个，实有</w:t>
      </w:r>
      <w:r>
        <w:rPr>
          <w:rFonts w:hint="eastAsia"/>
          <w:lang w:eastAsia="zh-CN"/>
        </w:rPr>
        <w:t>参公</w:t>
      </w:r>
      <w:r>
        <w:t>事业编制人员</w:t>
      </w:r>
      <w:r>
        <w:rPr>
          <w:rFonts w:hint="eastAsia"/>
          <w:lang w:val="en-US" w:eastAsia="zh-CN"/>
        </w:rPr>
        <w:t>13</w:t>
      </w:r>
      <w:r>
        <w:t>人，单位退休人员</w:t>
      </w:r>
      <w:r>
        <w:rPr>
          <w:rFonts w:hint="eastAsia"/>
          <w:lang w:val="en-US" w:eastAsia="zh-CN"/>
        </w:rPr>
        <w:t>8</w:t>
      </w:r>
      <w:r>
        <w:t>人。</w:t>
      </w:r>
    </w:p>
    <w:p>
      <w:pPr>
        <w:spacing w:line="580" w:lineRule="exact"/>
        <w:ind w:firstLine="643" w:firstLineChars="200"/>
        <w:contextualSpacing/>
        <w:rPr>
          <w:b/>
          <w:bCs/>
        </w:rPr>
      </w:pPr>
      <w:r>
        <w:rPr>
          <w:b/>
          <w:bCs/>
        </w:rPr>
        <w:t>二、单位主要职能与年度绩效目标</w:t>
      </w:r>
    </w:p>
    <w:p>
      <w:pPr>
        <w:spacing w:line="580" w:lineRule="exact"/>
        <w:ind w:firstLine="640" w:firstLineChars="200"/>
        <w:contextualSpacing/>
        <w:rPr>
          <w:rFonts w:hint="eastAsia"/>
        </w:rPr>
      </w:pPr>
      <w:r>
        <w:t>1、</w:t>
      </w:r>
      <w:r>
        <w:rPr>
          <w:rFonts w:hint="eastAsia"/>
        </w:rPr>
        <w:t>贯彻执行国家和省、市、县有关档案工作的法律、法规、规章和方针、政策，制定和实施县档案馆档案管理制度、业务标准和技术规范。</w:t>
      </w:r>
    </w:p>
    <w:p>
      <w:pPr>
        <w:spacing w:line="580" w:lineRule="exact"/>
        <w:ind w:firstLine="640" w:firstLineChars="200"/>
        <w:contextualSpacing/>
        <w:rPr>
          <w:rFonts w:hint="eastAsia"/>
        </w:rPr>
      </w:pPr>
      <w:r>
        <w:rPr>
          <w:rFonts w:hint="eastAsia"/>
          <w:lang w:val="en-US" w:eastAsia="zh-CN"/>
        </w:rPr>
        <w:t>2、</w:t>
      </w:r>
      <w:r>
        <w:rPr>
          <w:rFonts w:hint="eastAsia"/>
        </w:rPr>
        <w:t>管理保护好馆藏档案，维护档案的完整与安全。</w:t>
      </w:r>
    </w:p>
    <w:p>
      <w:pPr>
        <w:spacing w:line="580" w:lineRule="exact"/>
        <w:ind w:firstLine="640" w:firstLineChars="200"/>
        <w:contextualSpacing/>
        <w:rPr>
          <w:rFonts w:hint="eastAsia"/>
        </w:rPr>
      </w:pPr>
      <w:r>
        <w:rPr>
          <w:rFonts w:hint="eastAsia"/>
          <w:lang w:val="en-US" w:eastAsia="zh-CN"/>
        </w:rPr>
        <w:t>3、</w:t>
      </w:r>
      <w:r>
        <w:rPr>
          <w:rFonts w:hint="eastAsia"/>
        </w:rPr>
        <w:t>收集和接收按规定应移交进馆的各类档案资料，征集散存在社会上对国家和社会有保存价值的档案资料。</w:t>
      </w:r>
    </w:p>
    <w:p>
      <w:pPr>
        <w:spacing w:line="580" w:lineRule="exact"/>
        <w:ind w:firstLine="640" w:firstLineChars="200"/>
        <w:contextualSpacing/>
        <w:rPr>
          <w:rFonts w:hint="eastAsia"/>
        </w:rPr>
      </w:pPr>
      <w:r>
        <w:rPr>
          <w:rFonts w:hint="eastAsia"/>
          <w:lang w:val="en-US" w:eastAsia="zh-CN"/>
        </w:rPr>
        <w:t>4、</w:t>
      </w:r>
      <w:r>
        <w:rPr>
          <w:rFonts w:hint="eastAsia"/>
        </w:rPr>
        <w:t>对馆藏档案进行规范化整理、修裱、编研及鉴定工作。</w:t>
      </w:r>
    </w:p>
    <w:p>
      <w:pPr>
        <w:spacing w:line="580" w:lineRule="exact"/>
        <w:ind w:firstLine="640" w:firstLineChars="200"/>
        <w:contextualSpacing/>
        <w:rPr>
          <w:rFonts w:hint="eastAsia"/>
        </w:rPr>
      </w:pPr>
      <w:r>
        <w:rPr>
          <w:rFonts w:hint="eastAsia"/>
          <w:lang w:val="en-US" w:eastAsia="zh-CN"/>
        </w:rPr>
        <w:t>5、</w:t>
      </w:r>
      <w:r>
        <w:rPr>
          <w:rFonts w:hint="eastAsia"/>
        </w:rPr>
        <w:t>充分利用档案资源为社会提供服务，抓好档案宣传及档案文化建设。</w:t>
      </w:r>
    </w:p>
    <w:p>
      <w:pPr>
        <w:spacing w:line="580" w:lineRule="exact"/>
        <w:ind w:firstLine="640" w:firstLineChars="200"/>
        <w:contextualSpacing/>
        <w:rPr>
          <w:rFonts w:hint="eastAsia"/>
        </w:rPr>
      </w:pPr>
      <w:r>
        <w:rPr>
          <w:rFonts w:hint="eastAsia"/>
          <w:lang w:val="en-US" w:eastAsia="zh-CN"/>
        </w:rPr>
        <w:t>6、</w:t>
      </w:r>
      <w:r>
        <w:rPr>
          <w:rFonts w:hint="eastAsia"/>
        </w:rPr>
        <w:t>开展档案数字信息化工作，按规定接收、保管县直各单位、各乡镇和其他社会组织按规定移交的电子档案。</w:t>
      </w:r>
    </w:p>
    <w:p>
      <w:pPr>
        <w:spacing w:line="580" w:lineRule="exact"/>
        <w:ind w:firstLine="640" w:firstLineChars="200"/>
        <w:contextualSpacing/>
        <w:rPr>
          <w:rFonts w:hint="eastAsia"/>
        </w:rPr>
      </w:pPr>
      <w:r>
        <w:rPr>
          <w:rFonts w:hint="eastAsia"/>
          <w:lang w:val="en-US" w:eastAsia="zh-CN"/>
        </w:rPr>
        <w:t>7、</w:t>
      </w:r>
      <w:r>
        <w:rPr>
          <w:rFonts w:hint="eastAsia"/>
        </w:rPr>
        <w:t>承担全县档案专业技术资格申报审查工作。</w:t>
      </w:r>
    </w:p>
    <w:p>
      <w:pPr>
        <w:spacing w:line="580" w:lineRule="exact"/>
        <w:ind w:firstLine="640" w:firstLineChars="200"/>
        <w:contextualSpacing/>
      </w:pPr>
      <w:r>
        <w:rPr>
          <w:rFonts w:hint="eastAsia"/>
          <w:lang w:val="en-US" w:eastAsia="zh-CN"/>
        </w:rPr>
        <w:t>8、</w:t>
      </w:r>
      <w:r>
        <w:rPr>
          <w:rFonts w:hint="eastAsia"/>
        </w:rPr>
        <w:t>承办县委、县政府及主管部门交办的其他事项。</w:t>
      </w:r>
    </w:p>
    <w:p>
      <w:pPr>
        <w:spacing w:line="580" w:lineRule="exact"/>
        <w:ind w:firstLine="643" w:firstLineChars="200"/>
        <w:contextualSpacing/>
        <w:rPr>
          <w:b/>
          <w:bCs/>
        </w:rPr>
      </w:pPr>
      <w:r>
        <w:rPr>
          <w:b/>
          <w:bCs/>
        </w:rPr>
        <w:t>三、年度整体支出及管理情况</w:t>
      </w:r>
    </w:p>
    <w:p>
      <w:pPr>
        <w:spacing w:line="580" w:lineRule="exact"/>
        <w:ind w:firstLine="640" w:firstLineChars="200"/>
        <w:contextualSpacing/>
        <w:rPr>
          <w:rFonts w:hint="eastAsia" w:eastAsia="仿宋_GB2312"/>
          <w:lang w:eastAsia="zh-CN"/>
        </w:rPr>
      </w:pPr>
      <w:r>
        <w:t>2021年预算总收入</w:t>
      </w:r>
      <w:r>
        <w:rPr>
          <w:rFonts w:hint="eastAsia"/>
          <w:lang w:val="en-US" w:eastAsia="zh-CN"/>
        </w:rPr>
        <w:t>265.4</w:t>
      </w:r>
      <w:r>
        <w:t>万元，其中年初预算安排</w:t>
      </w:r>
      <w:r>
        <w:rPr>
          <w:rFonts w:hint="eastAsia"/>
          <w:lang w:val="en-US" w:eastAsia="zh-CN"/>
        </w:rPr>
        <w:t>244.19</w:t>
      </w:r>
      <w:r>
        <w:t>万元，上年结转收入</w:t>
      </w:r>
      <w:r>
        <w:rPr>
          <w:rFonts w:hint="eastAsia"/>
          <w:lang w:val="en-US" w:eastAsia="zh-CN"/>
        </w:rPr>
        <w:t>21.21</w:t>
      </w:r>
      <w:r>
        <w:t>万元。实际总支出</w:t>
      </w:r>
      <w:r>
        <w:rPr>
          <w:rFonts w:hint="eastAsia"/>
          <w:lang w:val="en-US" w:eastAsia="zh-CN"/>
        </w:rPr>
        <w:t>195.01</w:t>
      </w:r>
      <w:r>
        <w:t>万元，其中基本支出</w:t>
      </w:r>
      <w:r>
        <w:rPr>
          <w:rFonts w:hint="eastAsia"/>
          <w:lang w:val="en-US" w:eastAsia="zh-CN"/>
        </w:rPr>
        <w:t>174.51</w:t>
      </w:r>
      <w:r>
        <w:t>万元，占年初预算基本支出的</w:t>
      </w:r>
      <w:r>
        <w:rPr>
          <w:rFonts w:hint="eastAsia"/>
          <w:lang w:val="en-US" w:eastAsia="zh-CN"/>
        </w:rPr>
        <w:t>106.29</w:t>
      </w:r>
      <w:r>
        <w:t>%，占全年总支出的</w:t>
      </w:r>
      <w:r>
        <w:rPr>
          <w:rFonts w:hint="eastAsia"/>
          <w:lang w:val="en-US" w:eastAsia="zh-CN"/>
        </w:rPr>
        <w:t>89.49</w:t>
      </w:r>
      <w:r>
        <w:t>%:项目支出</w:t>
      </w:r>
      <w:r>
        <w:rPr>
          <w:rFonts w:hint="eastAsia"/>
          <w:lang w:val="en-US" w:eastAsia="zh-CN"/>
        </w:rPr>
        <w:t>20.5</w:t>
      </w:r>
      <w:r>
        <w:t>万元，占年初预算项目支出的</w:t>
      </w:r>
      <w:r>
        <w:rPr>
          <w:rFonts w:hint="eastAsia"/>
          <w:lang w:val="en-US" w:eastAsia="zh-CN"/>
        </w:rPr>
        <w:t>25.62</w:t>
      </w:r>
      <w:r>
        <w:t>%，占全年总支出的</w:t>
      </w:r>
      <w:r>
        <w:rPr>
          <w:rFonts w:hint="eastAsia"/>
          <w:lang w:val="en-US" w:eastAsia="zh-CN"/>
        </w:rPr>
        <w:t>10.51</w:t>
      </w:r>
      <w:r>
        <w:t xml:space="preserve"> %</w:t>
      </w:r>
      <w:r>
        <w:rPr>
          <w:rFonts w:hint="eastAsia"/>
          <w:lang w:eastAsia="zh-CN"/>
        </w:rPr>
        <w:t>。</w:t>
      </w:r>
    </w:p>
    <w:p>
      <w:pPr>
        <w:numPr>
          <w:ilvl w:val="0"/>
          <w:numId w:val="1"/>
        </w:numPr>
        <w:spacing w:line="580" w:lineRule="exact"/>
        <w:ind w:firstLine="640" w:firstLineChars="200"/>
        <w:contextualSpacing/>
      </w:pPr>
      <w:r>
        <w:t>基本支出情况</w:t>
      </w:r>
    </w:p>
    <w:p>
      <w:pPr>
        <w:numPr>
          <w:numId w:val="0"/>
        </w:numPr>
        <w:spacing w:line="580" w:lineRule="exact"/>
        <w:contextualSpacing/>
        <w:rPr>
          <w:rFonts w:hint="default" w:eastAsia="仿宋_GB2312"/>
          <w:lang w:val="en-US" w:eastAsia="zh-CN"/>
        </w:rPr>
      </w:pPr>
      <w:r>
        <w:rPr>
          <w:rFonts w:hint="eastAsia"/>
          <w:lang w:val="en-US" w:eastAsia="zh-CN"/>
        </w:rPr>
        <w:t xml:space="preserve">    基本支出174.51万元，其中工资福利支出131.38万元，商品和服务支出41.03万元，对个人和家庭的补助支出2.1万元。</w:t>
      </w:r>
    </w:p>
    <w:p>
      <w:pPr>
        <w:numPr>
          <w:ilvl w:val="0"/>
          <w:numId w:val="1"/>
        </w:numPr>
        <w:spacing w:line="580" w:lineRule="exact"/>
        <w:ind w:left="0" w:leftChars="0" w:firstLine="640" w:firstLineChars="200"/>
        <w:contextualSpacing/>
      </w:pPr>
      <w:r>
        <w:rPr>
          <w:rFonts w:hint="eastAsia"/>
        </w:rPr>
        <w:t>“</w:t>
      </w:r>
      <w:r>
        <w:t>三公</w:t>
      </w:r>
      <w:r>
        <w:rPr>
          <w:rFonts w:hint="eastAsia"/>
        </w:rPr>
        <w:t>”</w:t>
      </w:r>
      <w:r>
        <w:t>经费支出情况</w:t>
      </w:r>
    </w:p>
    <w:p>
      <w:pPr>
        <w:spacing w:line="580" w:lineRule="exact"/>
        <w:ind w:firstLine="640" w:firstLineChars="200"/>
        <w:contextualSpacing/>
        <w:rPr>
          <w:rFonts w:hint="eastAsia"/>
        </w:rPr>
      </w:pPr>
      <w:r>
        <w:rPr>
          <w:rFonts w:hint="eastAsia"/>
        </w:rPr>
        <w:t>“三公”经费年初预算</w:t>
      </w:r>
      <w:r>
        <w:rPr>
          <w:rFonts w:hint="eastAsia"/>
          <w:lang w:val="en-US" w:eastAsia="zh-CN"/>
        </w:rPr>
        <w:t>0.8</w:t>
      </w:r>
      <w:r>
        <w:rPr>
          <w:rFonts w:hint="eastAsia"/>
        </w:rPr>
        <w:t>万元，全部为公务接待费。实际“三公”经费支出</w:t>
      </w:r>
      <w:r>
        <w:rPr>
          <w:rFonts w:hint="eastAsia"/>
          <w:lang w:val="en-US" w:eastAsia="zh-CN"/>
        </w:rPr>
        <w:t>0.33</w:t>
      </w:r>
      <w:r>
        <w:rPr>
          <w:rFonts w:hint="eastAsia"/>
        </w:rPr>
        <w:t>万元，全部为公务接待费。</w:t>
      </w:r>
    </w:p>
    <w:p>
      <w:pPr>
        <w:spacing w:line="580" w:lineRule="exact"/>
        <w:ind w:firstLine="640" w:firstLineChars="200"/>
        <w:contextualSpacing/>
        <w:rPr>
          <w:rFonts w:hint="eastAsia"/>
        </w:rPr>
      </w:pPr>
      <w:r>
        <w:rPr>
          <w:rFonts w:hint="eastAsia"/>
        </w:rPr>
        <w:t>3、资金管理情况(内部管理制度措施)</w:t>
      </w:r>
    </w:p>
    <w:p>
      <w:pPr>
        <w:spacing w:line="580" w:lineRule="exact"/>
        <w:ind w:firstLine="640" w:firstLineChars="200"/>
        <w:contextualSpacing/>
        <w:rPr>
          <w:rFonts w:hint="eastAsia" w:cs="Arial"/>
        </w:rPr>
      </w:pPr>
      <w:r>
        <w:rPr>
          <w:rFonts w:hint="eastAsia" w:cs="Arial"/>
        </w:rPr>
        <w:t xml:space="preserve">我单位领导高度重视财务管理工作，多次专题研究财务管理工作，定期审核财务各项报表和原始凭证。根据中央和省委政策要求，我单位建立健全了财务管理制度和约束机制，进一步促进了我单位各项经费支出合法、合规和科学、有效管理。在预算执行过程中，相关责任人按照制度要求，认真履行职责，严格审查每项支出、每张原始凭证的真实性、有效性，确保各项支出在阳光监督之下进行，坚决杜绝铺张浪费行为，各项公用经费，特别是“三公经费”，都得到有效控制。四、整体支出绩效目标完成情况  </w:t>
      </w:r>
    </w:p>
    <w:p>
      <w:pPr>
        <w:spacing w:line="580" w:lineRule="exact"/>
        <w:ind w:firstLine="643" w:firstLineChars="200"/>
        <w:contextualSpacing/>
        <w:rPr>
          <w:rFonts w:hint="eastAsia" w:cs="Arial"/>
          <w:b/>
          <w:bCs/>
          <w:lang w:val="en-US" w:eastAsia="zh-CN"/>
        </w:rPr>
      </w:pPr>
      <w:r>
        <w:rPr>
          <w:rFonts w:hint="eastAsia" w:cs="Arial"/>
          <w:b/>
          <w:bCs/>
          <w:lang w:val="en-US" w:eastAsia="zh-CN"/>
        </w:rPr>
        <w:t>四、整体支出绩效目标完成情况</w:t>
      </w:r>
    </w:p>
    <w:p>
      <w:pPr>
        <w:spacing w:line="580" w:lineRule="exact"/>
        <w:ind w:firstLine="640" w:firstLineChars="200"/>
        <w:contextualSpacing/>
        <w:rPr>
          <w:rFonts w:hint="eastAsia" w:cs="Arial"/>
          <w:lang w:val="en-US" w:eastAsia="zh-CN"/>
        </w:rPr>
      </w:pPr>
      <w:r>
        <w:rPr>
          <w:rFonts w:hint="eastAsia" w:cs="Arial"/>
        </w:rPr>
        <w:t>综合以上各项指标，财务管理健全规范、没有发生违法违规现象，我</w:t>
      </w:r>
      <w:r>
        <w:rPr>
          <w:rFonts w:hint="eastAsia" w:cs="Arial"/>
          <w:lang w:eastAsia="zh-CN"/>
        </w:rPr>
        <w:t>馆</w:t>
      </w:r>
      <w:r>
        <w:rPr>
          <w:rFonts w:hint="eastAsia" w:cs="Arial"/>
        </w:rPr>
        <w:t>的部门整体支出绩效自我评价得分</w:t>
      </w:r>
      <w:r>
        <w:rPr>
          <w:rFonts w:hint="eastAsia" w:cs="Arial"/>
          <w:lang w:val="en-US" w:eastAsia="zh-CN"/>
        </w:rPr>
        <w:t>95</w:t>
      </w:r>
      <w:r>
        <w:rPr>
          <w:rFonts w:hint="eastAsia" w:cs="Arial"/>
        </w:rPr>
        <w:t>分</w:t>
      </w:r>
      <w:r>
        <w:rPr>
          <w:rFonts w:hint="eastAsia" w:cs="Arial"/>
          <w:lang w:eastAsia="zh-CN"/>
        </w:rPr>
        <w:t>，</w:t>
      </w:r>
      <w:r>
        <w:rPr>
          <w:rFonts w:hint="eastAsia" w:cs="Arial"/>
          <w:lang w:val="en-US" w:eastAsia="zh-CN"/>
        </w:rPr>
        <w:t>较好的完成了整体支出绩效目标。</w:t>
      </w:r>
    </w:p>
    <w:p>
      <w:pPr>
        <w:numPr>
          <w:ilvl w:val="0"/>
          <w:numId w:val="2"/>
        </w:numPr>
        <w:spacing w:line="580" w:lineRule="exact"/>
        <w:ind w:firstLine="643" w:firstLineChars="200"/>
        <w:contextualSpacing/>
        <w:rPr>
          <w:rFonts w:hint="eastAsia"/>
          <w:b/>
          <w:bCs/>
        </w:rPr>
      </w:pPr>
      <w:r>
        <w:rPr>
          <w:rFonts w:hint="eastAsia"/>
          <w:b/>
          <w:bCs/>
        </w:rPr>
        <w:t>存在的问题</w:t>
      </w:r>
    </w:p>
    <w:p>
      <w:pPr>
        <w:spacing w:line="580" w:lineRule="exact"/>
        <w:ind w:firstLine="640" w:firstLineChars="200"/>
        <w:contextualSpacing/>
        <w:rPr>
          <w:rFonts w:hint="eastAsia" w:cs="Arial"/>
        </w:rPr>
      </w:pPr>
      <w:r>
        <w:rPr>
          <w:rFonts w:hint="eastAsia" w:cs="Arial"/>
        </w:rPr>
        <w:t>在部门整体支出的资金安排和使用上仍有不可预见性，在科学设置预算绩效指标上还需进一步加强，使之更加贴合我</w:t>
      </w:r>
      <w:r>
        <w:rPr>
          <w:rFonts w:hint="eastAsia" w:cs="Arial"/>
          <w:lang w:eastAsia="zh-CN"/>
        </w:rPr>
        <w:t>馆</w:t>
      </w:r>
      <w:r>
        <w:rPr>
          <w:rFonts w:hint="eastAsia" w:cs="Arial"/>
        </w:rPr>
        <w:t>工作的实际。</w:t>
      </w:r>
    </w:p>
    <w:p>
      <w:pPr>
        <w:spacing w:line="580" w:lineRule="exact"/>
        <w:ind w:firstLine="643" w:firstLineChars="200"/>
        <w:contextualSpacing/>
        <w:rPr>
          <w:b/>
          <w:bCs/>
        </w:rPr>
      </w:pPr>
      <w:r>
        <w:rPr>
          <w:rFonts w:hint="eastAsia"/>
          <w:b/>
          <w:bCs/>
        </w:rPr>
        <w:t>六、改进措施与建议</w:t>
      </w:r>
    </w:p>
    <w:p>
      <w:pPr>
        <w:spacing w:line="580" w:lineRule="exact"/>
        <w:ind w:firstLine="640" w:firstLineChars="200"/>
        <w:contextualSpacing/>
        <w:rPr>
          <w:rFonts w:hint="eastAsia" w:cs="Arial"/>
          <w:lang w:val="en-US" w:eastAsia="zh-CN"/>
        </w:rPr>
      </w:pPr>
      <w:r>
        <w:rPr>
          <w:rFonts w:hint="eastAsia" w:cs="Arial"/>
          <w:lang w:val="en-US" w:eastAsia="zh-CN"/>
        </w:rPr>
        <w:t>1、强化内部管理，进一步完善管理制度。</w:t>
      </w:r>
    </w:p>
    <w:p>
      <w:pPr>
        <w:spacing w:line="580" w:lineRule="exact"/>
        <w:ind w:firstLine="640" w:firstLineChars="200"/>
        <w:contextualSpacing/>
        <w:rPr>
          <w:rFonts w:hint="eastAsia" w:cs="Arial"/>
        </w:rPr>
      </w:pPr>
      <w:r>
        <w:rPr>
          <w:rFonts w:hint="eastAsia" w:cs="Arial"/>
          <w:lang w:val="en-US" w:eastAsia="zh-CN"/>
        </w:rPr>
        <w:t>2、</w:t>
      </w:r>
      <w:bookmarkStart w:id="0" w:name="_GoBack"/>
      <w:bookmarkEnd w:id="0"/>
      <w:r>
        <w:rPr>
          <w:rFonts w:hint="eastAsia" w:cs="Arial"/>
          <w:lang w:val="en-US" w:eastAsia="zh-CN"/>
        </w:rPr>
        <w:t>部门整体绩效评价工作是一项长期性的工作，专业性强，工作量大，建议财政有关部门进一步加强开展相关的业务工作培训，组织开展部门之间、单位之间的经验交流，切实推进绩效评价工作的开展。</w:t>
      </w:r>
    </w:p>
    <w:p>
      <w:pPr>
        <w:keepNext w:val="0"/>
        <w:keepLines w:val="0"/>
        <w:pageBreakBefore w:val="0"/>
        <w:kinsoku/>
        <w:wordWrap/>
        <w:overflowPunct/>
        <w:topLinePunct w:val="0"/>
        <w:autoSpaceDE/>
        <w:autoSpaceDN/>
        <w:bidi w:val="0"/>
        <w:adjustRightInd/>
        <w:snapToGrid/>
        <w:spacing w:line="640" w:lineRule="exact"/>
        <w:ind w:firstLine="640"/>
        <w:textAlignment w:val="auto"/>
        <w:rPr>
          <w:rFonts w:hint="eastAsia" w:ascii="宋体" w:hAnsi="宋体" w:eastAsia="宋体" w:cs="宋体"/>
          <w:sz w:val="30"/>
          <w:szCs w:val="30"/>
          <w:lang w:val="en-US" w:eastAsia="zh-CN"/>
        </w:rPr>
      </w:pPr>
    </w:p>
    <w:p>
      <w:pPr>
        <w:spacing w:line="580" w:lineRule="exact"/>
        <w:contextualSpacing/>
      </w:pPr>
    </w:p>
    <w:p>
      <w:pPr>
        <w:spacing w:line="580" w:lineRule="exact"/>
        <w:contextualSpacing/>
      </w:pPr>
    </w:p>
    <w:p>
      <w:pPr>
        <w:spacing w:line="560" w:lineRule="atLeast"/>
      </w:pPr>
    </w:p>
    <w:p>
      <w:pPr>
        <w:spacing w:line="336" w:lineRule="auto"/>
      </w:pPr>
    </w:p>
    <w:sectPr>
      <w:footerReference r:id="rId3" w:type="default"/>
      <w:pgSz w:w="11906" w:h="16838"/>
      <w:pgMar w:top="1531" w:right="1418" w:bottom="1531"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9948260"/>
      <w:docPartObj>
        <w:docPartGallery w:val="AutoText"/>
      </w:docPartObj>
    </w:sdtPr>
    <w:sdtContent>
      <w:p>
        <w:pPr>
          <w:pStyle w:val="5"/>
          <w:jc w:val="center"/>
        </w:pPr>
        <w:r>
          <w:fldChar w:fldCharType="begin"/>
        </w:r>
        <w:r>
          <w:instrText xml:space="preserve"> PAGE   \* MERGEFORMAT </w:instrText>
        </w:r>
        <w:r>
          <w:fldChar w:fldCharType="separate"/>
        </w:r>
        <w:r>
          <w:rPr>
            <w:lang w:val="zh-CN"/>
          </w:rPr>
          <w:t>8</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84840"/>
    <w:multiLevelType w:val="singleLevel"/>
    <w:tmpl w:val="EF184840"/>
    <w:lvl w:ilvl="0" w:tentative="0">
      <w:start w:val="5"/>
      <w:numFmt w:val="chineseCounting"/>
      <w:suff w:val="nothing"/>
      <w:lvlText w:val="%1、"/>
      <w:lvlJc w:val="left"/>
      <w:rPr>
        <w:rFonts w:hint="eastAsia"/>
      </w:rPr>
    </w:lvl>
  </w:abstractNum>
  <w:abstractNum w:abstractNumId="1">
    <w:nsid w:val="2A5C2A41"/>
    <w:multiLevelType w:val="singleLevel"/>
    <w:tmpl w:val="2A5C2A4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YTZmMjI3MDI4MTUzYjliNDcyNmRjMDc0OTNiYjYifQ=="/>
  </w:docVars>
  <w:rsids>
    <w:rsidRoot w:val="00000000"/>
    <w:rsid w:val="155B7EB5"/>
    <w:rsid w:val="27BE220A"/>
    <w:rsid w:val="61071D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Arial"/>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Sky123.Org</Company>
  <Pages>11</Pages>
  <Words>5416</Words>
  <Characters>5717</Characters>
  <Lines>0</Lines>
  <Paragraphs>120</Paragraphs>
  <TotalTime>1</TotalTime>
  <ScaleCrop>false</ScaleCrop>
  <LinksUpToDate>false</LinksUpToDate>
  <CharactersWithSpaces>6254</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2019-10-15T09:24:00Z</dcterms:created>
  <dc:creator>Administrator</dc:creator>
  <cp:lastModifiedBy>安宁</cp:lastModifiedBy>
  <cp:lastPrinted>2022-04-24T01:35:00Z</cp:lastPrinted>
  <dcterms:modified xsi:type="dcterms:W3CDTF">2022-05-13T08:46:40Z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2910EF8CCDC14BCF82676AC1DE4D0B86</vt:lpwstr>
  </property>
</Properties>
</file>