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仿宋" w:eastAsia="仿宋"/>
          <w:sz w:val="21"/>
          <w:szCs w:val="21"/>
          <w:lang w:val="en-US" w:eastAsia="zh-CN"/>
        </w:rPr>
      </w:pPr>
      <w:r>
        <w:rPr>
          <w:rFonts w:hint="eastAsia" w:ascii="仿宋" w:eastAsia="仿宋"/>
          <w:sz w:val="21"/>
          <w:szCs w:val="21"/>
          <w:lang w:eastAsia="zh-CN"/>
        </w:rPr>
        <w:t>附件</w:t>
      </w:r>
      <w:r>
        <w:rPr>
          <w:rFonts w:hint="eastAsia" w:ascii="仿宋" w:eastAsia="仿宋"/>
          <w:sz w:val="21"/>
          <w:szCs w:val="21"/>
          <w:lang w:val="en-US" w:eastAsia="zh-CN"/>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5"/>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9</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hint="eastAsia" w:ascii="仿宋" w:eastAsia="仿宋"/>
          <w:sz w:val="24"/>
        </w:rPr>
        <w:t>中共麻阳苗族自治县委办公室</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5"/>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758"/>
        <w:gridCol w:w="982"/>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53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52</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98.11%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28.65万元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26万元</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19.65万元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26.85万元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18万元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hint="eastAsia" w:ascii="仿宋" w:eastAsia="仿宋"/>
                <w:sz w:val="24"/>
                <w:lang w:val="en-US" w:eastAsia="zh-CN"/>
              </w:rPr>
              <w:t>17.90</w:t>
            </w:r>
            <w:r>
              <w:rPr>
                <w:rFonts w:hint="eastAsia" w:ascii="仿宋" w:eastAsia="仿宋"/>
                <w:sz w:val="24"/>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26.85万元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18万元</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hint="eastAsia" w:ascii="仿宋" w:eastAsia="仿宋"/>
                <w:sz w:val="24"/>
                <w:lang w:val="en-US" w:eastAsia="zh-CN"/>
              </w:rPr>
              <w:t>17.90</w:t>
            </w:r>
            <w:r>
              <w:rPr>
                <w:rFonts w:hint="eastAsia" w:ascii="仿宋" w:eastAsia="仿宋"/>
                <w:sz w:val="24"/>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1.8万元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8万元</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1.75万元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279.28万元</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203.25万元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315.64万元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95.71万元</w:t>
            </w:r>
            <w:r>
              <w:rPr>
                <w:rFonts w:ascii="仿宋" w:eastAsia="仿宋"/>
                <w:color w:val="auto"/>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40.58万元</w:t>
            </w:r>
            <w:r>
              <w:rPr>
                <w:rFonts w:ascii="仿宋" w:eastAsia="仿宋"/>
                <w:color w:val="auto"/>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90.27万元</w:t>
            </w:r>
            <w:r>
              <w:rPr>
                <w:rFonts w:ascii="仿宋" w:eastAsia="仿宋"/>
                <w:color w:val="auto"/>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26.35万元</w:t>
            </w:r>
            <w:r>
              <w:rPr>
                <w:rFonts w:ascii="仿宋" w:eastAsia="仿宋"/>
                <w:color w:val="auto"/>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24.53万元</w:t>
            </w:r>
            <w:r>
              <w:rPr>
                <w:rFonts w:ascii="仿宋" w:eastAsia="仿宋"/>
                <w:color w:val="auto"/>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25.05万元</w:t>
            </w:r>
            <w:r>
              <w:rPr>
                <w:rFonts w:ascii="仿宋" w:eastAsia="仿宋"/>
                <w:color w:val="auto"/>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1.29万元</w:t>
            </w:r>
            <w:r>
              <w:rPr>
                <w:rFonts w:ascii="仿宋" w:eastAsia="仿宋"/>
                <w:color w:val="auto"/>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10万元</w:t>
            </w:r>
            <w:r>
              <w:rPr>
                <w:rFonts w:ascii="仿宋" w:eastAsia="仿宋"/>
                <w:color w:val="auto"/>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rPr>
            </w:pPr>
            <w:r>
              <w:rPr>
                <w:rFonts w:hint="eastAsia" w:ascii="仿宋" w:eastAsia="仿宋"/>
                <w:color w:val="auto"/>
                <w:sz w:val="24"/>
                <w:lang w:val="en-US" w:eastAsia="zh-CN"/>
              </w:rPr>
              <w:t>55.49万元</w:t>
            </w:r>
            <w:r>
              <w:rPr>
                <w:rFonts w:ascii="仿宋" w:eastAsia="仿宋"/>
                <w:color w:val="auto"/>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26万元</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39.37万元</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152"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31" w:hRule="atLeast"/>
          <w:jc w:val="center"/>
        </w:trPr>
        <w:tc>
          <w:tcPr>
            <w:tcW w:w="375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98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3" w:hRule="atLeast"/>
          <w:jc w:val="center"/>
        </w:trPr>
        <w:tc>
          <w:tcPr>
            <w:tcW w:w="375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8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23" w:hRule="atLeast"/>
          <w:jc w:val="center"/>
        </w:trPr>
        <w:tc>
          <w:tcPr>
            <w:tcW w:w="3758"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581"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360" w:lineRule="auto"/>
        <w:ind w:firstLine="480"/>
        <w:jc w:val="center"/>
        <w:rPr>
          <w:rFonts w:ascii="微软雅黑" w:hAnsi="微软雅黑" w:cs="宋体"/>
          <w:color w:val="333333"/>
          <w:sz w:val="24"/>
          <w:szCs w:val="24"/>
        </w:rPr>
      </w:pPr>
    </w:p>
    <w:p>
      <w:pPr>
        <w:keepNext w:val="0"/>
        <w:keepLines w:val="0"/>
        <w:pageBreakBefore w:val="0"/>
        <w:kinsoku/>
        <w:wordWrap/>
        <w:overflowPunct/>
        <w:topLinePunct w:val="0"/>
        <w:autoSpaceDE/>
        <w:autoSpaceDN/>
        <w:bidi w:val="0"/>
        <w:adjustRightInd/>
        <w:snapToGrid/>
        <w:spacing w:before="10" w:after="10" w:line="460" w:lineRule="exact"/>
        <w:contextualSpacing/>
        <w:jc w:val="center"/>
        <w:textAlignment w:val="auto"/>
        <w:rPr>
          <w:rFonts w:hint="eastAsia" w:ascii="宋体" w:hAnsi="宋体" w:eastAsia="宋体" w:cs="宋体"/>
          <w:sz w:val="36"/>
          <w:szCs w:val="36"/>
        </w:rPr>
      </w:pPr>
      <w:r>
        <w:rPr>
          <w:rFonts w:hint="eastAsia" w:ascii="方正小标宋简体" w:hAnsi="方正小标宋简体" w:eastAsia="方正小标宋简体" w:cs="方正小标宋简体"/>
          <w:b w:val="0"/>
          <w:bCs/>
          <w:color w:val="333333"/>
          <w:sz w:val="44"/>
          <w:szCs w:val="44"/>
        </w:rPr>
        <w:t>中共麻阳苗族自治县委办公室</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年绩效自评报告</w:t>
      </w:r>
    </w:p>
    <w:p>
      <w:pPr>
        <w:keepNext w:val="0"/>
        <w:keepLines w:val="0"/>
        <w:pageBreakBefore w:val="0"/>
        <w:kinsoku/>
        <w:wordWrap/>
        <w:overflowPunct/>
        <w:topLinePunct w:val="0"/>
        <w:autoSpaceDE/>
        <w:autoSpaceDN/>
        <w:bidi w:val="0"/>
        <w:adjustRightInd/>
        <w:snapToGrid/>
        <w:spacing w:before="10" w:after="10" w:line="520" w:lineRule="exact"/>
        <w:contextualSpacing/>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一、机构编制人员情况</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办公室共设县委机要室、县委政策研究室、县委督查室、保密办公室、县委信息室、信访值班室、文电室、法规室、业务指导室、财务后勤室、对台交流宣教和经贸联络办公室、档案行政审批室、绩效评估办公室13个职能室。总核定编制53人，其中：行政编28人，事业编25人。现实有人数65人，其中：在职52人、退休13人。</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二、单位主要职能与年度绩效目标</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（一）单位主要职能</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县委办公室是县委的综合部门，是县委领导的直接工作机构。其主要职责是：</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1.收集并反映全县重要信息和动态，围绕县委的中心工作开展调查研究，为县委决策提供参考依据；</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2.向全县各级党委传达中央、省委、市委的决策、指示和工作部署，并督促检查其贯彻落实；</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3.负责县委日常来电的处理，受理向县委的请示、报告；</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4.承担部分县委文件、文稿的起草工作，负责县委文件、函件的审批把关，负责制发、编发内部刊物；</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5.组织安排县委的各种会议和县委领导的各项公务活动；</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6.负责统筹协调全县绩效评估工作；</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7.负责全县对台、外事和港澳事务管理；</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8.负责全县财税金融工作。</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（二）年度绩效目标</w:t>
      </w:r>
      <w:r>
        <w:rPr>
          <w:rFonts w:hint="eastAsia" w:ascii="仿宋_GB2312" w:hAnsi="仿宋_GB2312" w:eastAsia="仿宋_GB2312" w:cs="仿宋_GB2312"/>
          <w:sz w:val="32"/>
          <w:szCs w:val="32"/>
        </w:rPr>
        <w:tab/>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办积极组织开展好整体支出绩效评价。2021年，我单位积极履职，强化管理，较好的完成了年度目标。通过加强预算收支管理，不断健全内部管理制度，梳理内部管理流程，部门整体支出管理水平得到提升。根据部门整体支出绩效评价指标体系，2021年我单位整体支出绩效评价得分为90分，部门整体支出绩效自评为“优”。</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三、年度整体支出及管理情况</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2021年预算总收入1015.48万元，其中年初预算安排798.66万元，年度预算追加216.82 万元，上年结转收入0万元。实际总支出1015.48万元，其中基本支出1015.48万元，占年初预算基本支出的127.15%，占全年总支出的100%；项目支出 0万元;年度结余0万元。</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w:t>
      </w:r>
      <w:r>
        <w:rPr>
          <w:rFonts w:hint="eastAsia" w:ascii="华文楷体" w:hAnsi="华文楷体" w:eastAsia="华文楷体" w:cs="华文楷体"/>
          <w:b w:val="0"/>
          <w:bCs w:val="0"/>
          <w:sz w:val="32"/>
          <w:szCs w:val="32"/>
        </w:rPr>
        <w:t>基本支出情况</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2021年本单位基本支出1015.48万元，其中：人员经费699.84万元，占基本支出的68.92%；日常公用经费315.64万元，占基本支出的31.08%。本年度基本支出与调整后的预算基本一致。</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人员经费699.84万元，主要包括：基本工资、津贴补贴、奖金、社会保障缴费、其他工资福利支出、离休费、生活补助、奖励金、住房公积金、其他对个人和家庭的补助支出等。</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公用经费315.64万元，主要包括：办公费、印刷费、邮电费、差旅费、维修（护）费、会议费、培训费、公务接待费、公务用车行政运行维护费、其他交通费、其他商品和服务支出及其他资本性支出。</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b w:val="0"/>
          <w:bCs w:val="0"/>
          <w:sz w:val="32"/>
          <w:szCs w:val="32"/>
        </w:rPr>
        <w:t>（二）</w:t>
      </w:r>
      <w:r>
        <w:rPr>
          <w:rFonts w:hint="eastAsia" w:ascii="华文楷体" w:hAnsi="华文楷体" w:eastAsia="华文楷体" w:cs="华文楷体"/>
          <w:b w:val="0"/>
          <w:bCs w:val="0"/>
          <w:sz w:val="32"/>
          <w:szCs w:val="32"/>
        </w:rPr>
        <w:t>“三公”经费支出情况</w:t>
      </w:r>
      <w:r>
        <w:rPr>
          <w:rFonts w:hint="eastAsia" w:ascii="华文楷体" w:hAnsi="华文楷体" w:eastAsia="华文楷体" w:cs="华文楷体"/>
          <w:b w:val="0"/>
          <w:bCs w:val="0"/>
          <w:sz w:val="32"/>
          <w:szCs w:val="32"/>
        </w:rPr>
        <w:t>。</w:t>
      </w:r>
      <w:r>
        <w:rPr>
          <w:rFonts w:hint="eastAsia" w:ascii="仿宋_GB2312" w:hAnsi="仿宋_GB2312" w:eastAsia="仿宋_GB2312" w:cs="仿宋_GB2312"/>
          <w:sz w:val="32"/>
          <w:szCs w:val="32"/>
        </w:rPr>
        <w:t>“三公”经费年初预算万26万元，其中公务接待费8万元，公务用车运行费18万元，出国考察经费0万元。实际“三公”经费支出19.65万元，占年初预算的75.58%，其中公务接待费1.75万元，占年初预算的21.88%，公务用车运行费17.90万元，占年初预算的99.44 %，出国考察0万元。“三公经费”结余6.35万元，结余率24.42%。</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w:t>
      </w:r>
      <w:r>
        <w:rPr>
          <w:rFonts w:hint="eastAsia" w:ascii="华文楷体" w:hAnsi="华文楷体" w:eastAsia="华文楷体" w:cs="华文楷体"/>
          <w:b w:val="0"/>
          <w:bCs w:val="0"/>
          <w:sz w:val="32"/>
          <w:szCs w:val="32"/>
        </w:rPr>
        <w:t>资金管理情况(内部管理制度措施)</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健全财务制度，规范审批流程。针对财务管理出现的新情况、新问题，在年初制定办公室目标管理办法时对办公室原制定的</w:t>
      </w:r>
      <w:r>
        <w:rPr>
          <w:rFonts w:hint="default" w:ascii="仿宋_GB2312" w:hAnsi="仿宋_GB2312" w:eastAsia="仿宋_GB2312" w:cs="仿宋_GB2312"/>
          <w:sz w:val="32"/>
          <w:szCs w:val="32"/>
        </w:rPr>
        <w:t>相关</w:t>
      </w:r>
      <w:r>
        <w:rPr>
          <w:rFonts w:hint="eastAsia" w:ascii="仿宋_GB2312" w:hAnsi="仿宋_GB2312" w:eastAsia="仿宋_GB2312" w:cs="仿宋_GB2312"/>
          <w:sz w:val="32"/>
          <w:szCs w:val="32"/>
        </w:rPr>
        <w:t>财务制度进行修改完善，使办公室的财务管理工作更加规范化、制度化、科学化。如《县委办公室政府采购内部控制管理制度》、《财务制度》、《后勤接待制度》、《车辆管理制度》等</w:t>
      </w:r>
      <w:r>
        <w:rPr>
          <w:rFonts w:hint="default"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加强内部控制，实行全面监督。各室（局、中心）负责人对本室（局、中心）各项收支行为负责，财务人员和审批人员负责监督其审批的各项支出行为，财务人员对各项收支需及时入账，按月汇总、编制并经费收支情况明细，定期向办公室主任、常务副主任报送财务收支情况表，同时按规定进行财务公开。</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强化制度执行，提升管理效能。严格执行财政下达的年度预算，坚持以收定支、量入为出、收支平衡，合理安排资金，不超预算安排支出。切实做好厉行节约工作，严格执行“三公”经费、项目资金等开支有关规定，无高消费，乱消费和假公济私等相关情况。</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四、整体支出绩效目标完成情况</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整体支出绩效评价，2021年，我单位积极履职，强化管理，较好的完成了年度目标。通过加强预算收支管理，不断健全内部管理制度，梳理内部管理流程，部门整体支出管理水平得到提升。根据部门整体支出绩效评价指标体系，2021年我单位整体支出绩效评价得分为90分，部门整体支出绩效为“优”。</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五、存在的问题</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对照部门整体支出绩效评价指标标准和我单位自评得分，反映出在整体支出的预算编制、执行和管理过程中，存在一些问题和不足主要是年初预算编制前瞻性偏低，造成预算执行偏低。</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六、改进措施与建议</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监管，做到监管机制环环相扣，不出现断层、行政单位的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绩效性原则。具体建议有：</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进一步加强内部机构的预算管理意识，严格按照预算编制的相关制度和要求，合理科学的编制预算，进一步提高预算编制的前瞩性、合理性、严谨性和可控性。</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建议县财政足额、及时安排单位预算资金；</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加强对财务人员的业务指导及培训，让财务管理工作精华、深化；</w:t>
      </w:r>
    </w:p>
    <w:p>
      <w:pPr>
        <w:keepNext w:val="0"/>
        <w:keepLines w:val="0"/>
        <w:pageBreakBefore w:val="0"/>
        <w:widowControl/>
        <w:kinsoku/>
        <w:wordWrap/>
        <w:overflowPunct/>
        <w:topLinePunct w:val="0"/>
        <w:autoSpaceDE/>
        <w:autoSpaceDN/>
        <w:bidi w:val="0"/>
        <w:adjustRightInd/>
        <w:snapToGrid/>
        <w:spacing w:before="10" w:after="1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细化内部管理方案，重落实，高效优质地完成各项工作任务。</w:t>
      </w:r>
    </w:p>
    <w:sectPr>
      <w:footnotePr>
        <w:numFmt w:val="decimal"/>
      </w:footnotePr>
      <w:endnotePr>
        <w:numFmt w:val="decimal"/>
      </w:endnotePr>
      <w:pgSz w:w="11906" w:h="16838"/>
      <w:pgMar w:top="510" w:right="1797" w:bottom="227" w:left="1474" w:header="720" w:footer="720" w:gutter="5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Century Schoolbook L">
    <w:altName w:val="仿宋"/>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8546688"/>
  <w:drawingGridVerticalSpacing w:val="18546688"/>
  <w:endnotePr>
    <w:numFmt w:val="decimal"/>
  </w:endnotePr>
  <w:compat>
    <w:useFELayout/>
    <w:compatSetting w:name="compatibilityMode" w:uri="http://schemas.microsoft.com/office/word" w:val="12"/>
  </w:compat>
  <w:docVars>
    <w:docVar w:name="commondata" w:val="eyJoZGlkIjoiNDkxMzE1ZmVhMjVhYzM0MDI1ZThiNGFmZjZjY2RkZWIifQ=="/>
  </w:docVars>
  <w:rsids>
    <w:rsidRoot w:val="00000000"/>
    <w:rsid w:val="107F322E"/>
    <w:rsid w:val="1BFD16CB"/>
    <w:rsid w:val="20C21E73"/>
    <w:rsid w:val="27B8013A"/>
    <w:rsid w:val="69715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ahoma" w:hAnsi="Tahoma" w:eastAsia="微软雅黑" w:cs="Times New Roman"/>
      <w:sz w:val="22"/>
      <w:szCs w:val="22"/>
      <w:lang w:val="en-US" w:eastAsia="zh-CN" w:bidi="ar-SA"/>
    </w:rPr>
  </w:style>
  <w:style w:type="character" w:default="1" w:styleId="6">
    <w:name w:val="Default Paragraph Font"/>
    <w:qFormat/>
    <w:uiPriority w:val="0"/>
    <w:rPr>
      <w:rFonts w:ascii="Calibri" w:hAnsi="Calibri"/>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tabs>
        <w:tab w:val="center" w:pos="4153"/>
        <w:tab w:val="right" w:pos="8306"/>
      </w:tabs>
      <w:spacing w:after="200"/>
    </w:pPr>
    <w:rPr>
      <w:rFonts w:ascii="Tahoma" w:hAnsi="Tahoma" w:eastAsia="微软雅黑" w:cs="Times New Roman"/>
      <w:sz w:val="18"/>
      <w:szCs w:val="18"/>
      <w:lang w:val="en-US" w:eastAsia="zh-CN" w:bidi="ar-SA"/>
    </w:rPr>
  </w:style>
  <w:style w:type="paragraph" w:styleId="3">
    <w:name w:val="header"/>
    <w:qFormat/>
    <w:uiPriority w:val="0"/>
    <w:pPr>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spacing w:after="200"/>
      <w:jc w:val="center"/>
    </w:pPr>
    <w:rPr>
      <w:rFonts w:ascii="Tahoma" w:hAnsi="Tahoma" w:eastAsia="微软雅黑" w:cs="Times New Roman"/>
      <w:sz w:val="18"/>
      <w:szCs w:val="18"/>
      <w:lang w:val="en-US" w:eastAsia="zh-CN" w:bidi="ar-SA"/>
    </w:rPr>
  </w:style>
  <w:style w:type="paragraph" w:styleId="4">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7">
    <w:name w:val="List Paragraph"/>
    <w:qFormat/>
    <w:uiPriority w:val="0"/>
    <w:pPr>
      <w:spacing w:after="200"/>
      <w:ind w:firstLine="420"/>
    </w:pPr>
    <w:rPr>
      <w:rFonts w:ascii="Tahoma" w:hAnsi="Tahoma" w:eastAsia="微软雅黑" w:cs="Times New Roman"/>
      <w:sz w:val="22"/>
      <w:szCs w:val="22"/>
      <w:lang w:val="en-US" w:eastAsia="zh-CN" w:bidi="ar-SA"/>
    </w:rPr>
  </w:style>
  <w:style w:type="character" w:customStyle="1" w:styleId="8">
    <w:name w:val="页眉 Char"/>
    <w:qFormat/>
    <w:uiPriority w:val="0"/>
    <w:rPr>
      <w:rFonts w:ascii="Tahoma" w:hAnsi="Tahoma"/>
      <w:sz w:val="18"/>
      <w:szCs w:val="18"/>
    </w:rPr>
  </w:style>
  <w:style w:type="character" w:customStyle="1" w:styleId="9">
    <w:name w:val="页脚 Char"/>
    <w:qFormat/>
    <w:uiPriority w:val="0"/>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ahoma"/>
        <a:ea typeface="微软雅黑"/>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3884</Words>
  <Characters>4266</Characters>
  <TotalTime>24</TotalTime>
  <ScaleCrop>false</ScaleCrop>
  <LinksUpToDate>false</LinksUpToDate>
  <CharactersWithSpaces>4708</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greatwall</cp:lastModifiedBy>
  <cp:lastPrinted>2022-07-12T10:19:00Z</cp:lastPrinted>
  <dcterms:modified xsi:type="dcterms:W3CDTF">2022-07-13T09:05:10Z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ACDF350E307D4BE2B920983F14EB9D9C</vt:lpwstr>
  </property>
</Properties>
</file>