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lang w:eastAsia="zh-CN"/>
        </w:rPr>
      </w:pPr>
      <w:r>
        <w:rPr>
          <w:rFonts w:ascii="黑体" w:eastAsia="黑体"/>
        </w:rPr>
        <w:t>附件</w:t>
      </w:r>
      <w:r>
        <w:rPr>
          <w:rFonts w:hint="eastAsia" w:ascii="黑体" w:eastAsia="黑体"/>
          <w:lang w:val="en-US" w:eastAsia="zh-CN"/>
        </w:rPr>
        <w:t>4</w:t>
      </w:r>
    </w:p>
    <w:p>
      <w:pPr>
        <w:spacing w:line="580" w:lineRule="exact"/>
        <w:contextualSpacing/>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bCs/>
          <w:sz w:val="44"/>
          <w:szCs w:val="44"/>
          <w:lang w:eastAsia="zh-CN"/>
        </w:rPr>
        <w:t>县文联</w:t>
      </w:r>
      <w:r>
        <w:rPr>
          <w:rFonts w:hint="eastAsia" w:asciiTheme="majorEastAsia" w:hAnsiTheme="majorEastAsia" w:eastAsiaTheme="majorEastAsia" w:cstheme="majorEastAsia"/>
          <w:b/>
          <w:bCs/>
          <w:sz w:val="44"/>
          <w:szCs w:val="44"/>
          <w:lang w:val="en-US" w:eastAsia="zh-CN"/>
        </w:rPr>
        <w:t>2021</w:t>
      </w:r>
      <w:r>
        <w:rPr>
          <w:rFonts w:hint="eastAsia" w:asciiTheme="majorEastAsia" w:hAnsiTheme="majorEastAsia" w:eastAsiaTheme="majorEastAsia" w:cstheme="majorEastAsia"/>
          <w:b/>
          <w:bCs/>
          <w:sz w:val="44"/>
          <w:szCs w:val="44"/>
        </w:rPr>
        <w:t>年绩效自评报告</w:t>
      </w:r>
    </w:p>
    <w:p>
      <w:pPr>
        <w:spacing w:line="580" w:lineRule="exact"/>
        <w:contextualSpacing/>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一、机构编制人员情况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本单位业务股室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个（其中二级事业单位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个），共有行政编制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个，实有行政编制人员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人，超编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名，实有事业编制人员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人，超编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人，单位退休人员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二、单位主要职能与年度绩效目标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贯彻党的“二为”方向和“双百”方针，开展各类社会性的文艺活动，为改革开放、经济建设和社会发展服务。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加强与所属各文艺家协会的联系，确保党和政府同文艺界协商渠道的通畅，负责向有关方面反映会员的情况和要求，负责对所属协会的管理和统筹安排。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eastAsia="zh-CN"/>
        </w:rPr>
        <w:t>开展国内外文学艺术交流活动，联络和争取社会各界对文艺事业的关系和支持，出作品、出人才，为文艺创作营造良好的环境和氛围，促进文艺事业的繁荣。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4、办好文艺刊物，为文艺工作者提供创作园地，积极发现、扶持和培养文艺新人，不断壮大文艺队伍。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2021</w:t>
      </w:r>
      <w:r>
        <w:rPr>
          <w:rFonts w:hint="eastAsia" w:ascii="仿宋_GB2312" w:hAnsi="仿宋_GB2312" w:eastAsia="仿宋_GB2312" w:cs="仿宋_GB2312"/>
          <w:b/>
          <w:bCs/>
          <w:sz w:val="32"/>
          <w:szCs w:val="32"/>
        </w:rPr>
        <w:t>年度整体支出及管理情况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2021年总收入</w:t>
      </w:r>
      <w:r>
        <w:rPr>
          <w:rFonts w:hint="eastAsia" w:ascii="仿宋_GB2312" w:hAnsi="仿宋_GB2312" w:cs="仿宋_GB2312"/>
          <w:sz w:val="32"/>
          <w:szCs w:val="32"/>
          <w:lang w:val="en-US" w:eastAsia="zh-CN"/>
        </w:rPr>
        <w:t>71.34</w:t>
      </w:r>
      <w:r>
        <w:rPr>
          <w:rFonts w:hint="eastAsia" w:ascii="仿宋_GB2312" w:hAnsi="仿宋_GB2312" w:eastAsia="仿宋_GB2312" w:cs="仿宋_GB2312"/>
          <w:sz w:val="32"/>
          <w:szCs w:val="32"/>
        </w:rPr>
        <w:t>万元，其中年初预算安排</w:t>
      </w:r>
      <w:r>
        <w:rPr>
          <w:rFonts w:hint="eastAsia" w:ascii="仿宋_GB2312" w:hAnsi="仿宋_GB2312" w:eastAsia="仿宋_GB2312" w:cs="仿宋_GB2312"/>
          <w:sz w:val="32"/>
          <w:szCs w:val="32"/>
          <w:lang w:val="en-US" w:eastAsia="zh-CN"/>
        </w:rPr>
        <w:t>50.99</w:t>
      </w:r>
      <w:r>
        <w:rPr>
          <w:rFonts w:hint="eastAsia" w:ascii="仿宋_GB2312" w:hAnsi="仿宋_GB2312" w:eastAsia="仿宋_GB2312" w:cs="仿宋_GB2312"/>
          <w:sz w:val="32"/>
          <w:szCs w:val="32"/>
        </w:rPr>
        <w:t>万元，上年结转收入</w:t>
      </w:r>
      <w:r>
        <w:rPr>
          <w:rFonts w:hint="eastAsia" w:ascii="仿宋_GB2312" w:hAnsi="仿宋_GB2312" w:cs="仿宋_GB2312"/>
          <w:sz w:val="32"/>
          <w:szCs w:val="32"/>
          <w:lang w:val="en-US" w:eastAsia="zh-CN"/>
        </w:rPr>
        <w:t>9.42</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，追加</w:t>
      </w:r>
      <w:r>
        <w:rPr>
          <w:rFonts w:hint="eastAsia" w:ascii="仿宋_GB2312" w:hAnsi="仿宋_GB2312" w:cs="仿宋_GB2312"/>
          <w:sz w:val="32"/>
          <w:szCs w:val="32"/>
          <w:lang w:val="en-US" w:eastAsia="zh-CN"/>
        </w:rPr>
        <w:t>10.93万元，</w:t>
      </w:r>
      <w:r>
        <w:rPr>
          <w:rFonts w:hint="eastAsia" w:ascii="仿宋_GB2312" w:hAnsi="仿宋_GB2312" w:eastAsia="仿宋_GB2312" w:cs="仿宋_GB2312"/>
          <w:sz w:val="32"/>
          <w:szCs w:val="32"/>
        </w:rPr>
        <w:t>实际总支出</w:t>
      </w:r>
      <w:r>
        <w:rPr>
          <w:rFonts w:hint="eastAsia" w:ascii="仿宋_GB2312" w:hAnsi="仿宋_GB2312" w:eastAsia="仿宋_GB2312" w:cs="仿宋_GB2312"/>
          <w:sz w:val="32"/>
          <w:szCs w:val="32"/>
          <w:lang w:val="en-US" w:eastAsia="zh-CN"/>
        </w:rPr>
        <w:t>71.34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71.34</w:t>
      </w:r>
      <w:r>
        <w:rPr>
          <w:rFonts w:hint="eastAsia" w:ascii="仿宋_GB2312" w:hAnsi="仿宋_GB2312" w:eastAsia="仿宋_GB2312" w:cs="仿宋_GB2312"/>
          <w:sz w:val="32"/>
          <w:szCs w:val="32"/>
        </w:rPr>
        <w:t>万元，占年初预算基本支出的</w:t>
      </w:r>
      <w:r>
        <w:rPr>
          <w:rFonts w:hint="eastAsia" w:ascii="仿宋_GB2312" w:hAnsi="仿宋_GB2312" w:eastAsia="仿宋_GB2312" w:cs="仿宋_GB2312"/>
          <w:sz w:val="32"/>
          <w:szCs w:val="32"/>
          <w:lang w:val="en-US" w:eastAsia="zh-CN"/>
        </w:rPr>
        <w:t>10</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%，占全年总支出的</w:t>
      </w:r>
      <w:r>
        <w:rPr>
          <w:rFonts w:hint="eastAsia" w:ascii="仿宋_GB2312" w:hAnsi="仿宋_GB2312" w:eastAsia="仿宋_GB2312" w:cs="仿宋_GB2312"/>
          <w:sz w:val="32"/>
          <w:szCs w:val="32"/>
          <w:lang w:val="en-US" w:eastAsia="zh-CN"/>
        </w:rPr>
        <w:t>10</w:t>
      </w:r>
      <w:r>
        <w:rPr>
          <w:rFonts w:hint="eastAsia" w:ascii="仿宋_GB2312" w:hAnsi="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万元，占年初预算项目支出的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%，占全年总支出的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，年度结余</w:t>
      </w:r>
      <w:r>
        <w:rPr>
          <w:rFonts w:hint="eastAsia" w:ascii="仿宋_GB2312" w:hAnsi="仿宋_GB2312" w:cs="仿宋_GB2312"/>
          <w:sz w:val="32"/>
          <w:szCs w:val="32"/>
          <w:lang w:val="en-US" w:eastAsia="zh-CN"/>
        </w:rPr>
        <w:t>0万元，占总收入的0%。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71.34</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 xml:space="preserve">100 </w:t>
      </w:r>
      <w:r>
        <w:rPr>
          <w:rFonts w:hint="eastAsia" w:ascii="仿宋_GB2312" w:hAnsi="仿宋_GB2312" w:eastAsia="仿宋_GB2312" w:cs="仿宋_GB2312"/>
          <w:sz w:val="32"/>
          <w:szCs w:val="32"/>
        </w:rPr>
        <w:t>%；其中人员经费支出</w:t>
      </w:r>
      <w:r>
        <w:rPr>
          <w:rFonts w:hint="eastAsia" w:ascii="仿宋_GB2312" w:hAnsi="仿宋_GB2312" w:eastAsia="仿宋_GB2312" w:cs="仿宋_GB2312"/>
          <w:sz w:val="32"/>
          <w:szCs w:val="32"/>
          <w:lang w:val="en-US" w:eastAsia="zh-CN"/>
        </w:rPr>
        <w:t>48.56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68.06</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22.78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31.94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lang w:val="en-US" w:eastAsia="zh-CN"/>
        </w:rPr>
        <w:t>48.56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其中基本工资</w:t>
      </w:r>
      <w:r>
        <w:rPr>
          <w:rFonts w:hint="eastAsia" w:ascii="仿宋_GB2312" w:hAnsi="仿宋_GB2312" w:eastAsia="仿宋_GB2312" w:cs="仿宋_GB2312"/>
          <w:sz w:val="32"/>
          <w:szCs w:val="32"/>
          <w:lang w:val="en-US" w:eastAsia="zh-CN"/>
        </w:rPr>
        <w:t>17.16万元</w:t>
      </w:r>
      <w:r>
        <w:rPr>
          <w:rFonts w:hint="eastAsia" w:ascii="仿宋_GB2312" w:hAnsi="仿宋_GB2312" w:eastAsia="仿宋_GB2312" w:cs="仿宋_GB2312"/>
          <w:sz w:val="32"/>
          <w:szCs w:val="32"/>
          <w:lang w:eastAsia="zh-CN"/>
        </w:rPr>
        <w:t>，津贴补贴</w:t>
      </w:r>
      <w:r>
        <w:rPr>
          <w:rFonts w:hint="eastAsia" w:ascii="仿宋_GB2312" w:hAnsi="仿宋_GB2312" w:eastAsia="仿宋_GB2312" w:cs="仿宋_GB2312"/>
          <w:sz w:val="32"/>
          <w:szCs w:val="32"/>
          <w:lang w:val="en-US" w:eastAsia="zh-CN"/>
        </w:rPr>
        <w:t>13.05万元</w:t>
      </w:r>
      <w:r>
        <w:rPr>
          <w:rFonts w:hint="eastAsia" w:ascii="仿宋_GB2312" w:hAnsi="仿宋_GB2312" w:eastAsia="仿宋_GB2312" w:cs="仿宋_GB2312"/>
          <w:sz w:val="32"/>
          <w:szCs w:val="32"/>
          <w:lang w:eastAsia="zh-CN"/>
        </w:rPr>
        <w:t>元，奖金</w:t>
      </w:r>
      <w:r>
        <w:rPr>
          <w:rFonts w:hint="eastAsia" w:ascii="仿宋_GB2312" w:hAnsi="仿宋_GB2312" w:eastAsia="仿宋_GB2312" w:cs="仿宋_GB2312"/>
          <w:sz w:val="32"/>
          <w:szCs w:val="32"/>
          <w:lang w:val="en-US" w:eastAsia="zh-CN"/>
        </w:rPr>
        <w:t>4.39万元 机关事业单位基本养老保险缴费2.34万元 职业年金缴费1.17万元 职工基本医疗保险缴费4.50万元住房公积金3.76万元其他工资福利支出2.19万元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（2）商品和服务支出</w:t>
      </w:r>
      <w:r>
        <w:rPr>
          <w:rFonts w:hint="eastAsia" w:ascii="仿宋_GB2312" w:hAnsi="仿宋_GB2312" w:eastAsia="仿宋_GB2312" w:cs="仿宋_GB2312"/>
          <w:sz w:val="32"/>
          <w:szCs w:val="32"/>
          <w:lang w:val="en-US" w:eastAsia="zh-CN"/>
        </w:rPr>
        <w:t>22.78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办公费12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lang w:val="en-US" w:eastAsia="zh-CN"/>
        </w:rPr>
        <w:t>0.03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租赁费0.22万元， </w:t>
      </w:r>
      <w:r>
        <w:rPr>
          <w:rFonts w:hint="eastAsia" w:ascii="仿宋_GB2312" w:hAnsi="仿宋_GB2312" w:eastAsia="仿宋_GB2312" w:cs="仿宋_GB2312"/>
          <w:sz w:val="32"/>
          <w:szCs w:val="32"/>
        </w:rPr>
        <w:t>公务招待费</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其他交通费用3.52万元，其他商品和服务支出5万元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2、“三公”经费支出情况，“三公”经费年初预算</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万元，出国考察经费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万元。实际“三公”经费支出</w:t>
      </w:r>
      <w:r>
        <w:rPr>
          <w:rFonts w:hint="eastAsia" w:ascii="仿宋_GB2312" w:hAnsi="仿宋_GB2312" w:eastAsia="仿宋_GB2312" w:cs="仿宋_GB2312"/>
          <w:sz w:val="32"/>
          <w:szCs w:val="32"/>
          <w:lang w:val="en-US" w:eastAsia="zh-CN"/>
        </w:rPr>
        <w:t>0.139</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34.75</w:t>
      </w:r>
      <w:r>
        <w:rPr>
          <w:rFonts w:hint="eastAsia" w:ascii="仿宋_GB2312" w:hAnsi="仿宋_GB2312" w:eastAsia="仿宋_GB2312" w:cs="仿宋_GB2312"/>
          <w:sz w:val="32"/>
          <w:szCs w:val="32"/>
        </w:rPr>
        <w:t>%，其中公务接待费</w:t>
      </w:r>
      <w:r>
        <w:rPr>
          <w:rFonts w:hint="eastAsia" w:ascii="仿宋_GB2312" w:hAnsi="仿宋_GB2312" w:eastAsia="仿宋_GB2312" w:cs="仿宋_GB2312"/>
          <w:sz w:val="32"/>
          <w:szCs w:val="32"/>
          <w:lang w:val="en-US" w:eastAsia="zh-CN"/>
        </w:rPr>
        <w:t>0.139</w:t>
      </w:r>
      <w:r>
        <w:rPr>
          <w:rFonts w:hint="eastAsia" w:ascii="仿宋_GB2312" w:hAnsi="仿宋_GB2312" w:eastAsia="仿宋_GB2312" w:cs="仿宋_GB2312"/>
          <w:sz w:val="32"/>
          <w:szCs w:val="32"/>
        </w:rPr>
        <w:t xml:space="preserve">万元，占年初预算的 </w:t>
      </w:r>
      <w:r>
        <w:rPr>
          <w:rFonts w:hint="eastAsia" w:ascii="仿宋_GB2312" w:hAnsi="仿宋_GB2312" w:eastAsia="仿宋_GB2312" w:cs="仿宋_GB2312"/>
          <w:sz w:val="32"/>
          <w:szCs w:val="32"/>
          <w:lang w:val="en-US" w:eastAsia="zh-CN"/>
        </w:rPr>
        <w:t>34.75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3、资金管理情况(内部管理制度措施)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严格遵守国家财经法规和制度，贯彻落实上级单位财务指示和精神，认真履行本部门的工作职责。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制定、完善各项财务管理制度并监督执行。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eastAsia="zh-CN"/>
        </w:rPr>
        <w:t>及时办理各类款项收付结算业务，完善资金管理工作，确保资金使用安全、有效。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四、整体支出绩效目标完成情况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内部财务管理制度、资产管理制度、公务用车管理制度都得到有效执行。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本单位按照政府信息公开预决算信息真实、准确、完整。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资金使用严格按照国家财经法规和财务制度规定使用，重大开支事项经会议研究决定，资金拨付完整规范。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五、存在的问题</w:t>
      </w:r>
      <w:r>
        <w:rPr>
          <w:rFonts w:hint="eastAsia" w:ascii="仿宋_GB2312" w:hAnsi="仿宋_GB2312" w:eastAsia="仿宋_GB2312" w:cs="仿宋_GB2312"/>
          <w:sz w:val="32"/>
          <w:szCs w:val="32"/>
        </w:rPr>
        <w:t>(年度绩效目标实际完成差异，重大增支超支情况，管理方面缺陷等)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1、财政预算经费不能满足本单位的正常开支需要。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2、单位财务人员业务学习有待加强，业务能力需提高。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六、改进措施与建议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1、提高本单位的财政预算经费，并把各文艺协会的工作经费纳入财政预算。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2、加强对财务人员的业务指导与培训，提高财务人员业务水平。</w:t>
      </w: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7"/>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6"/>
        <w:gridCol w:w="456"/>
        <w:gridCol w:w="671"/>
        <w:gridCol w:w="456"/>
        <w:gridCol w:w="1001"/>
        <w:gridCol w:w="456"/>
        <w:gridCol w:w="2964"/>
        <w:gridCol w:w="3424"/>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1"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1"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6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2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1"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24"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w:t>
            </w:r>
            <w:r>
              <w:rPr>
                <w:rFonts w:ascii="仿宋" w:eastAsia="仿宋"/>
                <w:color w:val="auto"/>
                <w:sz w:val="24"/>
                <w:szCs w:val="24"/>
              </w:rPr>
              <w:t>三公经费”变动率=[（本年度“三公经费”预算数-上年度“三公经费”预算数）/上年度“三公经费”预算数]×100%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预算完成率=（上年结转+年初预算+本年追加预算-年末结余）/（上年结转+年初预算+本年追加预算）×100%。</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color w:val="auto"/>
                <w:sz w:val="24"/>
                <w:szCs w:val="24"/>
              </w:rPr>
            </w:pPr>
            <w:r>
              <w:rPr>
                <w:rFonts w:ascii="仿宋" w:eastAsia="仿宋"/>
                <w:color w:val="auto"/>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预算控制率=0，计5分；0-10%（含），计4分；10-20%（含），计3分；20-30%（含），计2分；大于30%不得分。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预算控制率=（本年追加预算/年初预算）×100%。</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楼堂馆所面积控制率=实际建设面积/批准建设面积×100% 。</w:t>
            </w:r>
            <w:r>
              <w:rPr>
                <w:rFonts w:ascii="仿宋" w:eastAsia="仿宋"/>
                <w:color w:val="auto"/>
                <w:sz w:val="24"/>
                <w:szCs w:val="24"/>
              </w:rPr>
              <w:br w:type="textWrapping"/>
            </w:r>
            <w:r>
              <w:rPr>
                <w:rFonts w:ascii="仿宋" w:eastAsia="仿宋"/>
                <w:color w:val="auto"/>
                <w:sz w:val="24"/>
                <w:szCs w:val="24"/>
              </w:rPr>
              <w:t>该指标以201</w:t>
            </w:r>
            <w:r>
              <w:rPr>
                <w:rFonts w:hint="eastAsia" w:ascii="仿宋" w:eastAsia="仿宋"/>
                <w:color w:val="auto"/>
                <w:sz w:val="24"/>
                <w:szCs w:val="24"/>
              </w:rPr>
              <w:t>7</w:t>
            </w:r>
            <w:r>
              <w:rPr>
                <w:rFonts w:ascii="仿宋" w:eastAsia="仿宋"/>
                <w:color w:val="auto"/>
                <w:sz w:val="24"/>
                <w:szCs w:val="24"/>
              </w:rPr>
              <w:t>年完工的新建楼堂馆所为评价内容。</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楼堂馆所投资预算控制率=实际投资金额/批准投资金额×100% 。</w:t>
            </w:r>
            <w:r>
              <w:rPr>
                <w:rFonts w:ascii="仿宋" w:eastAsia="仿宋"/>
                <w:color w:val="auto"/>
                <w:sz w:val="24"/>
                <w:szCs w:val="24"/>
              </w:rPr>
              <w:br w:type="textWrapping"/>
            </w:r>
            <w:r>
              <w:rPr>
                <w:rFonts w:ascii="仿宋" w:eastAsia="仿宋"/>
                <w:color w:val="auto"/>
                <w:sz w:val="24"/>
                <w:szCs w:val="24"/>
              </w:rPr>
              <w:t>该指标以201</w:t>
            </w:r>
            <w:r>
              <w:rPr>
                <w:rFonts w:hint="eastAsia" w:ascii="仿宋" w:eastAsia="仿宋"/>
                <w:color w:val="auto"/>
                <w:sz w:val="24"/>
                <w:szCs w:val="24"/>
              </w:rPr>
              <w:t>7</w:t>
            </w:r>
            <w:r>
              <w:rPr>
                <w:rFonts w:ascii="仿宋" w:eastAsia="仿宋"/>
                <w:color w:val="auto"/>
                <w:sz w:val="24"/>
                <w:szCs w:val="24"/>
              </w:rPr>
              <w:t>年完工的新建楼堂馆所为评价内容。</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color w:val="auto"/>
                <w:sz w:val="24"/>
                <w:szCs w:val="24"/>
              </w:rPr>
            </w:pPr>
            <w:r>
              <w:rPr>
                <w:rFonts w:ascii="仿宋" w:eastAsia="仿宋"/>
                <w:color w:val="auto"/>
                <w:sz w:val="24"/>
                <w:szCs w:val="24"/>
              </w:rPr>
              <w:t>公用经费控制率=（实际支出公用经费总额/预算安排公用经费总额）×100%。</w:t>
            </w:r>
            <w:r>
              <w:rPr>
                <w:rFonts w:ascii="仿宋" w:eastAsia="仿宋"/>
                <w:color w:val="auto"/>
                <w:sz w:val="24"/>
                <w:szCs w:val="24"/>
              </w:rPr>
              <w:br w:type="textWrapping"/>
            </w:r>
            <w:r>
              <w:rPr>
                <w:rFonts w:ascii="仿宋" w:eastAsia="仿宋"/>
                <w:color w:val="auto"/>
                <w:sz w:val="24"/>
                <w:szCs w:val="24"/>
              </w:rPr>
              <w:t>公用经费支出是指部门基本支出中的一般商品和服务支出。</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hint="eastAsia" w:ascii="仿宋" w:eastAsia="仿宋"/>
                <w:sz w:val="24"/>
                <w:szCs w:val="24"/>
                <w:lang w:val="en-US" w:eastAsia="zh-CN"/>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ascii="仿宋" w:eastAsia="仿宋"/>
                <w:sz w:val="24"/>
                <w:szCs w:val="24"/>
              </w:rPr>
            </w:pPr>
            <w:r>
              <w:rPr>
                <w:rFonts w:hint="eastAsia" w:ascii="仿宋" w:eastAsia="仿宋"/>
                <w:sz w:val="24"/>
                <w:szCs w:val="24"/>
                <w:lang w:val="en-US" w:eastAsia="zh-CN"/>
              </w:rPr>
              <w:t>7</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1"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1"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auto"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1" w:type="dxa"/>
            <w:tcBorders>
              <w:bottom w:val="single" w:color="auto"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hint="default"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restart"/>
            <w:tcBorders>
              <w:left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right w:val="single" w:color="000000" w:sz="4" w:space="0"/>
            </w:tcBorders>
            <w:tcMar>
              <w:left w:w="108" w:type="dxa"/>
              <w:right w:w="108" w:type="dxa"/>
            </w:tcMar>
            <w:vAlign w:val="center"/>
          </w:tcPr>
          <w:p/>
        </w:tc>
        <w:tc>
          <w:tcPr>
            <w:tcW w:w="67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1" w:type="dxa"/>
            <w:tcBorders>
              <w:top w:val="single" w:color="auto"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2964" w:type="dxa"/>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3424" w:type="dxa"/>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p>
        </w:tc>
        <w:tc>
          <w:tcPr>
            <w:tcW w:w="656" w:type="dxa"/>
            <w:tcBorders>
              <w:right w:val="single" w:color="000000" w:sz="4" w:space="0"/>
            </w:tcBorders>
            <w:tcMar>
              <w:left w:w="108" w:type="dxa"/>
              <w:right w:w="108" w:type="dxa"/>
            </w:tcMar>
            <w:vAlign w:val="center"/>
          </w:tcPr>
          <w:p>
            <w:pPr>
              <w:widowControl/>
              <w:ind w:left="240" w:hanging="240" w:hangingChars="100"/>
              <w:jc w:val="left"/>
              <w:rPr>
                <w:rFonts w:ascii="仿宋" w:eastAsia="仿宋"/>
                <w:sz w:val="24"/>
                <w:szCs w:val="24"/>
              </w:rPr>
            </w:pPr>
            <w:r>
              <w:rPr>
                <w:rFonts w:ascii="仿宋" w:eastAsia="仿宋"/>
                <w:sz w:val="24"/>
                <w:szCs w:val="24"/>
              </w:rPr>
              <w:t>　</w:t>
            </w:r>
          </w:p>
          <w:p>
            <w:pPr>
              <w:widowControl/>
              <w:ind w:left="240" w:hanging="240" w:hangingChars="100"/>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2964" w:type="dxa"/>
            <w:vMerge w:val="continue"/>
            <w:tcBorders>
              <w:top w:val="single" w:color="000000" w:sz="4" w:space="0"/>
              <w:left w:val="single" w:color="000000" w:sz="4" w:space="0"/>
              <w:right w:val="single" w:color="000000" w:sz="4" w:space="0"/>
            </w:tcBorders>
            <w:tcMar>
              <w:left w:w="108" w:type="dxa"/>
              <w:right w:w="108" w:type="dxa"/>
            </w:tcMar>
            <w:vAlign w:val="center"/>
          </w:tcPr>
          <w:p/>
        </w:tc>
        <w:tc>
          <w:tcPr>
            <w:tcW w:w="3424" w:type="dxa"/>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56"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24"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5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7"/>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464"/>
        <w:gridCol w:w="1178"/>
        <w:gridCol w:w="1159"/>
        <w:gridCol w:w="1296"/>
        <w:gridCol w:w="1429"/>
        <w:gridCol w:w="957"/>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0.4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0.4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0.139</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32.63</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5.56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30.2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1.1</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6"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2.43</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lang w:val="en-US" w:eastAsia="zh-CN"/>
              </w:rPr>
            </w:pPr>
            <w:r>
              <w:rPr>
                <w:rFonts w:hint="eastAsia" w:ascii="仿宋" w:eastAsia="仿宋"/>
                <w:sz w:val="24"/>
                <w:lang w:val="en-US" w:eastAsia="zh-CN"/>
              </w:rPr>
              <w:t xml:space="preserve">     0</w:t>
            </w:r>
          </w:p>
        </w:tc>
        <w:tc>
          <w:tcPr>
            <w:tcW w:w="1130" w:type="dxa"/>
            <w:tcBorders>
              <w:bottom w:val="single" w:color="000000" w:sz="4" w:space="0"/>
              <w:right w:val="single" w:color="000000" w:sz="4" w:space="0"/>
            </w:tcBorders>
            <w:tcMar>
              <w:left w:w="108" w:type="dxa"/>
              <w:right w:w="108" w:type="dxa"/>
            </w:tcMar>
            <w:vAlign w:val="center"/>
          </w:tcPr>
          <w:p>
            <w:pPr>
              <w:widowControl/>
              <w:ind w:firstLine="720" w:firstLineChars="300"/>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 xml:space="preserve">   0</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 xml:space="preserve"> 0</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lang w:val="en-US" w:eastAsia="zh-CN"/>
              </w:rPr>
            </w:pPr>
            <w:r>
              <w:rPr>
                <w:rFonts w:hint="eastAsia" w:ascii="仿宋" w:eastAsia="仿宋"/>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7"/>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65"/>
        <w:gridCol w:w="2626"/>
        <w:gridCol w:w="4193"/>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62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193"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193"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auto"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auto"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626" w:type="dxa"/>
            <w:vMerge w:val="restart"/>
            <w:tcBorders>
              <w:left w:val="single" w:color="000000" w:sz="4" w:space="0"/>
              <w:bottom w:val="single" w:color="000000" w:sz="4" w:space="0"/>
              <w:right w:val="single" w:color="auto"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193" w:type="dxa"/>
            <w:tcBorders>
              <w:top w:val="single" w:color="auto" w:sz="4" w:space="0"/>
              <w:left w:val="single" w:color="auto" w:sz="4" w:space="0"/>
              <w:bottom w:val="nil"/>
              <w:right w:val="single" w:color="auto"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top w:val="single" w:color="auto" w:sz="4" w:space="0"/>
              <w:left w:val="single" w:color="auto"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auto" w:sz="4" w:space="0"/>
            </w:tcBorders>
            <w:tcMar>
              <w:left w:w="108" w:type="dxa"/>
              <w:right w:w="108" w:type="dxa"/>
            </w:tcMar>
            <w:vAlign w:val="center"/>
          </w:tcPr>
          <w:p/>
        </w:tc>
        <w:tc>
          <w:tcPr>
            <w:tcW w:w="4193" w:type="dxa"/>
            <w:tcBorders>
              <w:top w:val="nil"/>
              <w:left w:val="single" w:color="auto" w:sz="4" w:space="0"/>
              <w:bottom w:val="single" w:color="auto" w:sz="4" w:space="0"/>
              <w:right w:val="single" w:color="auto"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left w:val="single" w:color="auto" w:sz="4" w:space="0"/>
              <w:bottom w:val="single" w:color="auto"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top w:val="single" w:color="auto"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top w:val="single" w:color="auto" w:sz="4" w:space="0"/>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193" w:type="dxa"/>
            <w:tcBorders>
              <w:bottom w:val="single" w:color="auto"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bottom w:val="single" w:color="auto" w:sz="4" w:space="0"/>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top w:val="single" w:color="auto"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top w:val="single" w:color="auto" w:sz="4" w:space="0"/>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62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62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626"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19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626"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1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626"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1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626"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1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626"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193"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bl>
    <w:p>
      <w:pPr>
        <w:spacing w:line="560" w:lineRule="exact"/>
        <w:rPr>
          <w:rFonts w:ascii="黑体" w:eastAsia="黑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OWEzM2MwYTgxZTU0NGI3MWNjNzBlZWJkNzZiZTE0NWQifQ=="/>
  </w:docVars>
  <w:rsids>
    <w:rsidRoot w:val="00000000"/>
    <w:rsid w:val="00A9422F"/>
    <w:rsid w:val="00D6329C"/>
    <w:rsid w:val="090556D8"/>
    <w:rsid w:val="09A72FB8"/>
    <w:rsid w:val="0AB01148"/>
    <w:rsid w:val="0D0B06A3"/>
    <w:rsid w:val="1B3E3557"/>
    <w:rsid w:val="1D9237BA"/>
    <w:rsid w:val="206264F9"/>
    <w:rsid w:val="224B321A"/>
    <w:rsid w:val="24BE2CB8"/>
    <w:rsid w:val="28574D2F"/>
    <w:rsid w:val="2CE078FE"/>
    <w:rsid w:val="2DC13DB0"/>
    <w:rsid w:val="30197C97"/>
    <w:rsid w:val="31141A30"/>
    <w:rsid w:val="31AA329C"/>
    <w:rsid w:val="33601D01"/>
    <w:rsid w:val="388C36FB"/>
    <w:rsid w:val="3ACE0877"/>
    <w:rsid w:val="3D4A5933"/>
    <w:rsid w:val="3E690030"/>
    <w:rsid w:val="42671D3C"/>
    <w:rsid w:val="42AB2E02"/>
    <w:rsid w:val="441F0F76"/>
    <w:rsid w:val="50BF5967"/>
    <w:rsid w:val="540203F4"/>
    <w:rsid w:val="57AA42B0"/>
    <w:rsid w:val="58E97957"/>
    <w:rsid w:val="5E487133"/>
    <w:rsid w:val="5F8D54E0"/>
    <w:rsid w:val="63E678B4"/>
    <w:rsid w:val="69C15204"/>
    <w:rsid w:val="704119B9"/>
    <w:rsid w:val="73A0182E"/>
    <w:rsid w:val="73A60BB7"/>
    <w:rsid w:val="76023E11"/>
    <w:rsid w:val="79827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11</Pages>
  <Words>5553</Words>
  <Characters>5924</Characters>
  <Lines>0</Lines>
  <Paragraphs>120</Paragraphs>
  <TotalTime>26</TotalTime>
  <ScaleCrop>false</ScaleCrop>
  <LinksUpToDate>false</LinksUpToDate>
  <CharactersWithSpaces>6377</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2022-04-24T01:35:00Z</cp:lastPrinted>
  <dcterms:modified xsi:type="dcterms:W3CDTF">2022-05-19T03:27:56Z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5A6DA6C50C464FCAB9D9FC7D0DB2FD39</vt:lpwstr>
  </property>
</Properties>
</file>