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contextualSpacing/>
        <w:jc w:val="center"/>
        <w:rPr>
          <w:rFonts w:hint="eastAsia" w:ascii="方正小标宋简体" w:hAnsi="方正小标宋简体" w:eastAsia="方正小标宋简体" w:cs="方正小标宋简体"/>
          <w:b w:val="0"/>
          <w:bCs w:val="0"/>
          <w:sz w:val="44"/>
          <w:szCs w:val="44"/>
          <w:u w:val="single" w:color="auto"/>
        </w:rPr>
      </w:pPr>
    </w:p>
    <w:p>
      <w:pPr>
        <w:spacing w:line="580" w:lineRule="exact"/>
        <w:contextualSpacing/>
        <w:jc w:val="center"/>
        <w:rPr>
          <w:rFonts w:hint="eastAsia" w:ascii="方正小标宋简体" w:hAnsi="方正小标宋简体" w:eastAsia="方正小标宋简体" w:cs="方正小标宋简体"/>
          <w:b w:val="0"/>
          <w:bCs w:val="0"/>
          <w:sz w:val="44"/>
          <w:szCs w:val="44"/>
          <w:u w:val="single" w:color="auto"/>
        </w:rPr>
      </w:pPr>
    </w:p>
    <w:p>
      <w:pPr>
        <w:spacing w:line="580" w:lineRule="exact"/>
        <w:contextualSpacing/>
        <w:jc w:val="center"/>
        <w:rPr>
          <w:rFonts w:hint="eastAsia" w:ascii="方正小标宋简体" w:hAnsi="方正小标宋简体" w:eastAsia="方正小标宋简体" w:cs="方正小标宋简体"/>
          <w:b w:val="0"/>
          <w:bCs w:val="0"/>
          <w:sz w:val="44"/>
          <w:szCs w:val="44"/>
          <w:u w:val="single" w:color="auto"/>
        </w:rPr>
      </w:pPr>
    </w:p>
    <w:p>
      <w:pPr>
        <w:spacing w:line="580" w:lineRule="exact"/>
        <w:contextualSpacing/>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u w:val="none" w:color="auto"/>
          <w:lang w:val="en-US" w:eastAsia="zh-CN"/>
        </w:rPr>
        <w:t>2023</w:t>
      </w:r>
      <w:r>
        <w:rPr>
          <w:rFonts w:hint="eastAsia" w:ascii="方正小标宋简体" w:hAnsi="方正小标宋简体" w:eastAsia="方正小标宋简体" w:cs="方正小标宋简体"/>
          <w:b w:val="0"/>
          <w:bCs w:val="0"/>
          <w:sz w:val="44"/>
          <w:szCs w:val="44"/>
        </w:rPr>
        <w:t>年绩效自评报告</w:t>
      </w:r>
    </w:p>
    <w:p>
      <w:pPr>
        <w:spacing w:line="580" w:lineRule="exact"/>
        <w:contextualSpacing/>
        <w:rPr>
          <w:rFonts w:hint="eastAsia" w:ascii="黑体" w:hAnsi="黑体" w:eastAsia="黑体" w:cs="黑体"/>
          <w:b w:val="0"/>
          <w:bCs w:val="0"/>
        </w:rPr>
      </w:pPr>
    </w:p>
    <w:p>
      <w:pPr>
        <w:spacing w:line="580" w:lineRule="exact"/>
        <w:ind w:firstLine="640" w:firstLineChars="200"/>
        <w:contextualSpacing/>
        <w:rPr>
          <w:rFonts w:hint="eastAsia" w:ascii="黑体" w:hAnsi="黑体" w:eastAsia="黑体" w:cs="黑体"/>
          <w:b w:val="0"/>
          <w:bCs w:val="0"/>
          <w:sz w:val="32"/>
          <w:szCs w:val="32"/>
        </w:rPr>
      </w:pPr>
      <w:r>
        <w:rPr>
          <w:rFonts w:hint="eastAsia" w:ascii="黑体" w:hAnsi="黑体" w:eastAsia="黑体" w:cs="黑体"/>
          <w:b w:val="0"/>
          <w:bCs w:val="0"/>
          <w:sz w:val="32"/>
          <w:szCs w:val="32"/>
        </w:rPr>
        <w:t>一、机构编制人员情况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本单位业务股室</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个(其中二级事业单位</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eastAsia="仿宋_GB2312" w:cs="Arial"/>
          <w:sz w:val="32"/>
          <w:szCs w:val="32"/>
          <w:lang w:val="en-US" w:eastAsia="zh-CN"/>
        </w:rPr>
        <w:t>不含黄土溪水库和库区移民事务中心</w:t>
      </w:r>
      <w:r>
        <w:rPr>
          <w:rFonts w:hint="eastAsia" w:ascii="仿宋_GB2312" w:hAnsi="仿宋_GB2312" w:eastAsia="仿宋_GB2312" w:cs="仿宋_GB2312"/>
          <w:sz w:val="32"/>
          <w:szCs w:val="32"/>
        </w:rPr>
        <w:t>)，共有行政编制</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个，事业编制</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个，实有行政编制人员</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人，超编</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名，实有事业编制人员</w:t>
      </w:r>
      <w:r>
        <w:rPr>
          <w:rFonts w:hint="eastAsia" w:ascii="仿宋_GB2312" w:hAnsi="仿宋_GB2312" w:eastAsia="仿宋_GB2312" w:cs="仿宋_GB2312"/>
          <w:sz w:val="32"/>
          <w:szCs w:val="32"/>
          <w:lang w:val="en-US" w:eastAsia="zh-CN"/>
        </w:rPr>
        <w:t>65</w:t>
      </w:r>
      <w:r>
        <w:rPr>
          <w:rFonts w:hint="eastAsia" w:ascii="仿宋_GB2312" w:hAnsi="仿宋_GB2312" w:eastAsia="仿宋_GB2312" w:cs="仿宋_GB2312"/>
          <w:sz w:val="32"/>
          <w:szCs w:val="32"/>
        </w:rPr>
        <w:t>人，超编</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人，单位退休人员</w:t>
      </w:r>
      <w:r>
        <w:rPr>
          <w:rFonts w:hint="eastAsia" w:ascii="仿宋_GB2312" w:hAnsi="仿宋_GB2312" w:eastAsia="仿宋_GB2312" w:cs="仿宋_GB2312"/>
          <w:sz w:val="32"/>
          <w:szCs w:val="32"/>
          <w:lang w:val="en-US" w:eastAsia="zh-CN"/>
        </w:rPr>
        <w:t>54</w:t>
      </w:r>
      <w:r>
        <w:rPr>
          <w:rFonts w:hint="eastAsia" w:ascii="仿宋_GB2312" w:hAnsi="仿宋_GB2312" w:eastAsia="仿宋_GB2312" w:cs="仿宋_GB2312"/>
          <w:sz w:val="32"/>
          <w:szCs w:val="32"/>
        </w:rPr>
        <w:t>人。</w:t>
      </w:r>
    </w:p>
    <w:p>
      <w:pPr>
        <w:spacing w:line="580" w:lineRule="exact"/>
        <w:ind w:firstLine="640" w:firstLineChars="200"/>
        <w:contextualSpacing/>
        <w:rPr>
          <w:rFonts w:hint="eastAsia" w:ascii="黑体" w:hAnsi="黑体" w:eastAsia="黑体" w:cs="黑体"/>
          <w:b w:val="0"/>
          <w:bCs w:val="0"/>
          <w:sz w:val="32"/>
          <w:szCs w:val="32"/>
        </w:rPr>
      </w:pPr>
      <w:r>
        <w:rPr>
          <w:rFonts w:hint="eastAsia" w:ascii="黑体" w:hAnsi="黑体" w:eastAsia="黑体" w:cs="黑体"/>
          <w:b w:val="0"/>
          <w:bCs w:val="0"/>
          <w:sz w:val="32"/>
          <w:szCs w:val="32"/>
        </w:rPr>
        <w:t>二、单位主要职能与年度绩效目标</w:t>
      </w:r>
    </w:p>
    <w:p>
      <w:pPr>
        <w:spacing w:line="580" w:lineRule="exact"/>
        <w:ind w:firstLine="640" w:firstLineChars="200"/>
        <w:contextualSpacing/>
        <w:rPr>
          <w:rFonts w:hint="eastAsia" w:eastAsia="仿宋_GB2312" w:cs="Arial"/>
          <w:sz w:val="32"/>
          <w:szCs w:val="32"/>
        </w:rPr>
      </w:pPr>
      <w:r>
        <w:rPr>
          <w:rFonts w:hint="eastAsia" w:eastAsia="仿宋_GB2312" w:cs="Arial"/>
          <w:sz w:val="32"/>
          <w:szCs w:val="32"/>
          <w:lang w:val="zh-CN"/>
        </w:rPr>
        <w:t>我单位主要职能有：</w:t>
      </w:r>
      <w:r>
        <w:rPr>
          <w:rFonts w:hint="eastAsia" w:eastAsia="仿宋_GB2312" w:cs="Arial"/>
          <w:sz w:val="32"/>
          <w:szCs w:val="32"/>
        </w:rPr>
        <w:t>1、负责贯彻实施国家和省有关水行政方面的法律、法规和方针政策；制定全县水利管理政策措施并监督实施，实行依法治水、依法管水。2、统一管理和保护全县水资源（含空中水、地表水、地下水）；组织编制水资源综合规划和全县水中长期供求计划、水量分配方案并监督实施；负责全县计划用水、节约用水工作，制定节约用水政策、编制节约用水规划，制定有关标准，并监督实施；负责实施取水许可及水资源费征收工作，指导和推动节水型社会建设工作。3、编制水资源保护规划；组织实施水功能区管理，监测河道水量、水质，审定水域纳污能力，提出限制排污总量的意见；指导饮水水源保护工作，负责全县地下水开发利用管理和保护工作；与有关部门共同做好入河排污口设置审批并参与水环境整治和保护工作；指导农村饮水安全和乡镇供水工作。4、及时分析、了解、研究地形地貌、水系河流等自然条件状况；掌握历年的旱涝情况，制定全县水利发展战略、中长期规划、区域综合规划和年度工作计划，制定全县水资源保护、防洪、节水、水土保持等专业规划，并监督实施；组织有关国民经济总体规划、城市规划及重大建设项目的水资源和防洪的论证工作；指导全县水土保持和水土流失综合防治工作。5、承担全县防汛防旱指挥部的日常工作；组织、协调、监督、指导全县防汛防旱工作（含城市防洪），对骨干河道和重要水利工程实施防汛防旱调度；负责流域性和区域性的重要水利工程管理。6、组织、指导水政监察和水行政执法工作；对各类临河、跨河和河道岸线的利用建设履行审批，依法对水事活动进行监督和查处，协调全县水事纠纷；组织对河道堤防占用补偿费的征收。7、组织实施重要水利工程建设和质量监督，编制、审查重点水利基本建设项目建议书;依法负责水利行业安全生产工作；组织对全县水利工程水费的征收。8、加强对基层水利服务体系人、财、物的领导与监督，切实执行“建设、管理、经营、开发、服务”的指导方针。9、承办县政府交办的其他事项。</w:t>
      </w:r>
    </w:p>
    <w:p>
      <w:pPr>
        <w:spacing w:line="580" w:lineRule="exact"/>
        <w:ind w:firstLine="640" w:firstLineChars="200"/>
        <w:contextualSpacing/>
        <w:rPr>
          <w:rFonts w:eastAsia="仿宋_GB2312" w:cs="Arial"/>
          <w:sz w:val="32"/>
          <w:szCs w:val="32"/>
        </w:rPr>
      </w:pPr>
      <w:r>
        <w:rPr>
          <w:rFonts w:hint="eastAsia" w:eastAsia="仿宋_GB2312" w:cs="Arial"/>
          <w:sz w:val="32"/>
          <w:szCs w:val="32"/>
        </w:rPr>
        <w:t>年度绩效目标：</w:t>
      </w:r>
    </w:p>
    <w:p>
      <w:pPr>
        <w:spacing w:line="580" w:lineRule="exact"/>
        <w:ind w:firstLine="640" w:firstLineChars="200"/>
        <w:contextualSpacing/>
        <w:rPr>
          <w:rFonts w:hint="eastAsia" w:eastAsia="仿宋_GB2312" w:cs="Arial"/>
          <w:sz w:val="32"/>
          <w:szCs w:val="32"/>
          <w:lang w:eastAsia="zh-CN"/>
        </w:rPr>
      </w:pPr>
      <w:r>
        <w:rPr>
          <w:rFonts w:hint="eastAsia" w:eastAsia="仿宋_GB2312" w:cs="Arial"/>
          <w:sz w:val="32"/>
          <w:szCs w:val="32"/>
          <w:lang w:eastAsia="zh-CN"/>
        </w:rPr>
        <w:t>我局将在完成</w:t>
      </w:r>
      <w:r>
        <w:rPr>
          <w:rFonts w:hint="eastAsia" w:eastAsia="仿宋_GB2312" w:cs="Arial"/>
          <w:sz w:val="32"/>
          <w:szCs w:val="32"/>
          <w:lang w:val="en-US" w:eastAsia="zh-CN"/>
        </w:rPr>
        <w:t>2023</w:t>
      </w:r>
      <w:r>
        <w:rPr>
          <w:rFonts w:hint="eastAsia" w:eastAsia="仿宋_GB2312" w:cs="Arial"/>
          <w:sz w:val="32"/>
          <w:szCs w:val="32"/>
          <w:lang w:eastAsia="zh-CN"/>
        </w:rPr>
        <w:t>年度各项任务的同时，积极探索水利建设项目运行管理的长效机制，确保水利工程良性运行，按照“规模化发展、标准化建设、规范化管理”的思路和“建的成、管的好、用的起、长收益”的要求，努力解决目前水利项目建设存在的主要问题。</w:t>
      </w:r>
    </w:p>
    <w:p>
      <w:pPr>
        <w:spacing w:line="580" w:lineRule="exact"/>
        <w:ind w:firstLine="640" w:firstLineChars="200"/>
        <w:contextualSpacing/>
        <w:rPr>
          <w:rFonts w:hint="eastAsia" w:ascii="黑体" w:hAnsi="黑体" w:eastAsia="黑体" w:cs="黑体"/>
          <w:b w:val="0"/>
          <w:bCs w:val="0"/>
          <w:sz w:val="32"/>
          <w:szCs w:val="32"/>
        </w:rPr>
      </w:pPr>
      <w:r>
        <w:rPr>
          <w:rFonts w:hint="eastAsia" w:ascii="黑体" w:hAnsi="黑体" w:eastAsia="黑体" w:cs="黑体"/>
          <w:b w:val="0"/>
          <w:bCs w:val="0"/>
          <w:sz w:val="32"/>
          <w:szCs w:val="32"/>
        </w:rPr>
        <w:t>三、年度整体支出及管理情况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年预算总收入</w:t>
      </w:r>
      <w:r>
        <w:rPr>
          <w:rFonts w:hint="eastAsia" w:asciiTheme="minorEastAsia" w:hAnsiTheme="minorEastAsia" w:eastAsiaTheme="minorEastAsia" w:cstheme="minorEastAsia"/>
          <w:color w:val="auto"/>
          <w:sz w:val="32"/>
          <w:szCs w:val="32"/>
          <w:lang w:val="en-US" w:eastAsia="zh-CN"/>
        </w:rPr>
        <w:t>13450.17</w:t>
      </w:r>
      <w:r>
        <w:rPr>
          <w:rFonts w:hint="eastAsia" w:ascii="仿宋_GB2312" w:hAnsi="仿宋_GB2312" w:eastAsia="仿宋_GB2312" w:cs="仿宋_GB2312"/>
          <w:sz w:val="32"/>
          <w:szCs w:val="32"/>
        </w:rPr>
        <w:t xml:space="preserve">万元，其中年初预算安排    </w:t>
      </w:r>
      <w:r>
        <w:rPr>
          <w:rFonts w:hint="eastAsia" w:asciiTheme="minorEastAsia" w:hAnsiTheme="minorEastAsia" w:eastAsiaTheme="minorEastAsia" w:cstheme="minorEastAsia"/>
          <w:color w:val="auto"/>
          <w:sz w:val="32"/>
          <w:szCs w:val="32"/>
          <w:lang w:val="en-US" w:eastAsia="zh-CN"/>
        </w:rPr>
        <w:t>5882.41</w:t>
      </w:r>
      <w:r>
        <w:rPr>
          <w:rFonts w:hint="eastAsia" w:ascii="仿宋_GB2312" w:hAnsi="仿宋_GB2312" w:eastAsia="仿宋_GB2312" w:cs="仿宋_GB2312"/>
          <w:sz w:val="32"/>
          <w:szCs w:val="32"/>
        </w:rPr>
        <w:t>万元，年度预算追加</w:t>
      </w:r>
      <w:r>
        <w:rPr>
          <w:rFonts w:hint="eastAsia" w:ascii="仿宋_GB2312" w:hAnsi="仿宋_GB2312" w:eastAsia="仿宋_GB2312" w:cs="仿宋_GB2312"/>
          <w:sz w:val="32"/>
          <w:szCs w:val="32"/>
          <w:lang w:val="en-US" w:eastAsia="zh-CN"/>
        </w:rPr>
        <w:t>7567.76</w:t>
      </w:r>
      <w:r>
        <w:rPr>
          <w:rFonts w:hint="eastAsia" w:ascii="仿宋_GB2312" w:hAnsi="仿宋_GB2312" w:eastAsia="仿宋_GB2312" w:cs="仿宋_GB2312"/>
          <w:sz w:val="32"/>
          <w:szCs w:val="32"/>
        </w:rPr>
        <w:t>万元，上年结转收入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万元。实际总支出</w:t>
      </w:r>
      <w:r>
        <w:rPr>
          <w:rFonts w:hint="eastAsia" w:asciiTheme="minorEastAsia" w:hAnsiTheme="minorEastAsia" w:eastAsiaTheme="minorEastAsia" w:cstheme="minorEastAsia"/>
          <w:color w:val="auto"/>
          <w:sz w:val="32"/>
          <w:szCs w:val="32"/>
          <w:lang w:val="en-US" w:eastAsia="zh-CN"/>
        </w:rPr>
        <w:t>13450.17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1217.38</w:t>
      </w:r>
      <w:r>
        <w:rPr>
          <w:rFonts w:hint="eastAsia" w:ascii="仿宋_GB2312" w:hAnsi="仿宋_GB2312" w:eastAsia="仿宋_GB2312" w:cs="仿宋_GB2312"/>
          <w:sz w:val="32"/>
          <w:szCs w:val="32"/>
        </w:rPr>
        <w:t>万元，占年初预算基本支出的</w:t>
      </w:r>
      <w:r>
        <w:rPr>
          <w:rFonts w:hint="eastAsia" w:ascii="仿宋_GB2312" w:hAnsi="仿宋_GB2312" w:eastAsia="仿宋_GB2312" w:cs="仿宋_GB2312"/>
          <w:sz w:val="32"/>
          <w:szCs w:val="32"/>
          <w:lang w:val="en-US" w:eastAsia="zh-CN"/>
        </w:rPr>
        <w:t>112.47</w:t>
      </w:r>
      <w:r>
        <w:rPr>
          <w:rFonts w:hint="eastAsia" w:ascii="仿宋_GB2312" w:hAnsi="仿宋_GB2312" w:eastAsia="仿宋_GB2312" w:cs="仿宋_GB2312"/>
          <w:sz w:val="32"/>
          <w:szCs w:val="32"/>
        </w:rPr>
        <w:t>%，占全年总支出的</w:t>
      </w:r>
      <w:r>
        <w:rPr>
          <w:rFonts w:hint="eastAsia" w:ascii="仿宋_GB2312" w:hAnsi="仿宋_GB2312" w:eastAsia="仿宋_GB2312" w:cs="仿宋_GB2312"/>
          <w:sz w:val="32"/>
          <w:szCs w:val="32"/>
          <w:lang w:val="en-US" w:eastAsia="zh-CN"/>
        </w:rPr>
        <w:t>9.05</w:t>
      </w:r>
      <w:r>
        <w:rPr>
          <w:rFonts w:hint="eastAsia" w:ascii="仿宋_GB2312" w:hAnsi="仿宋_GB2312" w:eastAsia="仿宋_GB2312" w:cs="仿宋_GB2312"/>
          <w:sz w:val="32"/>
          <w:szCs w:val="32"/>
        </w:rPr>
        <w:t>%:项目支出</w:t>
      </w:r>
      <w:r>
        <w:rPr>
          <w:rFonts w:hint="eastAsia" w:asciiTheme="minorEastAsia" w:hAnsiTheme="minorEastAsia" w:eastAsiaTheme="minorEastAsia" w:cstheme="minorEastAsia"/>
          <w:color w:val="auto"/>
          <w:sz w:val="32"/>
          <w:szCs w:val="32"/>
          <w:lang w:val="en-US" w:eastAsia="zh-CN"/>
        </w:rPr>
        <w:t>12232.79</w:t>
      </w:r>
      <w:r>
        <w:rPr>
          <w:rFonts w:hint="eastAsia" w:ascii="仿宋_GB2312" w:hAnsi="仿宋_GB2312" w:eastAsia="仿宋_GB2312" w:cs="仿宋_GB2312"/>
          <w:sz w:val="32"/>
          <w:szCs w:val="32"/>
        </w:rPr>
        <w:t>万元，占年初预算项目支出的</w:t>
      </w:r>
      <w:r>
        <w:rPr>
          <w:rFonts w:hint="eastAsia" w:ascii="仿宋_GB2312" w:hAnsi="仿宋_GB2312" w:eastAsia="仿宋_GB2312" w:cs="仿宋_GB2312"/>
          <w:sz w:val="32"/>
          <w:szCs w:val="32"/>
          <w:lang w:val="en-US" w:eastAsia="zh-CN"/>
        </w:rPr>
        <w:t>254.84</w:t>
      </w:r>
      <w:r>
        <w:rPr>
          <w:rFonts w:hint="eastAsia" w:ascii="仿宋_GB2312" w:hAnsi="仿宋_GB2312" w:eastAsia="仿宋_GB2312" w:cs="仿宋_GB2312"/>
          <w:sz w:val="32"/>
          <w:szCs w:val="32"/>
        </w:rPr>
        <w:t>%，占全年总支出</w:t>
      </w:r>
      <w:r>
        <w:rPr>
          <w:rFonts w:hint="eastAsia" w:ascii="仿宋_GB2312" w:hAnsi="仿宋_GB2312" w:eastAsia="仿宋_GB2312" w:cs="仿宋_GB2312"/>
          <w:sz w:val="32"/>
          <w:szCs w:val="32"/>
          <w:highlight w:val="none"/>
        </w:rPr>
        <w:t>的</w:t>
      </w:r>
      <w:r>
        <w:rPr>
          <w:rFonts w:hint="eastAsia" w:ascii="仿宋_GB2312" w:hAnsi="仿宋_GB2312" w:eastAsia="仿宋_GB2312" w:cs="仿宋_GB2312"/>
          <w:sz w:val="32"/>
          <w:szCs w:val="32"/>
          <w:highlight w:val="none"/>
          <w:lang w:val="en-US" w:eastAsia="zh-CN"/>
        </w:rPr>
        <w:t>90.95</w:t>
      </w:r>
      <w:r>
        <w:rPr>
          <w:rFonts w:hint="eastAsia" w:ascii="仿宋_GB2312" w:hAnsi="仿宋_GB2312" w:eastAsia="仿宋_GB2312" w:cs="仿宋_GB2312"/>
          <w:sz w:val="32"/>
          <w:szCs w:val="32"/>
          <w:highlight w:val="none"/>
        </w:rPr>
        <w:t>%;年度结余</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万元，占总收入的</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基本支出情况</w:t>
      </w:r>
    </w:p>
    <w:p>
      <w:pPr>
        <w:spacing w:line="580" w:lineRule="exact"/>
        <w:ind w:firstLine="640" w:firstLineChars="200"/>
        <w:contextualSpacing/>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zh-CN"/>
        </w:rPr>
        <w:t>20</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val="zh-CN"/>
        </w:rPr>
        <w:t>年</w:t>
      </w:r>
      <w:r>
        <w:rPr>
          <w:rFonts w:hint="eastAsia" w:ascii="仿宋_GB2312" w:hAnsi="仿宋_GB2312" w:eastAsia="仿宋_GB2312" w:cs="仿宋_GB2312"/>
          <w:sz w:val="32"/>
          <w:szCs w:val="32"/>
          <w:highlight w:val="none"/>
          <w:lang w:val="zh-CN" w:eastAsia="zh-CN"/>
        </w:rPr>
        <w:t>基</w:t>
      </w:r>
      <w:r>
        <w:rPr>
          <w:rFonts w:hint="eastAsia" w:eastAsia="仿宋_GB2312" w:cs="Arial"/>
          <w:sz w:val="32"/>
          <w:szCs w:val="32"/>
          <w:highlight w:val="none"/>
          <w:lang w:val="zh-CN" w:eastAsia="zh-CN"/>
        </w:rPr>
        <w:t>本</w:t>
      </w:r>
      <w:r>
        <w:rPr>
          <w:rFonts w:hint="eastAsia" w:eastAsia="仿宋_GB2312" w:cs="Arial"/>
          <w:sz w:val="32"/>
          <w:szCs w:val="32"/>
          <w:highlight w:val="none"/>
          <w:lang w:val="zh-CN"/>
        </w:rPr>
        <w:t>支</w:t>
      </w:r>
      <w:r>
        <w:rPr>
          <w:rFonts w:hint="eastAsia" w:ascii="仿宋_GB2312" w:hAnsi="仿宋_GB2312" w:eastAsia="仿宋_GB2312" w:cs="仿宋_GB2312"/>
          <w:sz w:val="32"/>
          <w:szCs w:val="32"/>
          <w:highlight w:val="none"/>
          <w:lang w:val="zh-CN"/>
        </w:rPr>
        <w:t>出</w:t>
      </w:r>
      <w:r>
        <w:rPr>
          <w:rFonts w:hint="eastAsia" w:ascii="仿宋_GB2312" w:hAnsi="仿宋_GB2312" w:eastAsia="仿宋_GB2312" w:cs="仿宋_GB2312"/>
          <w:sz w:val="32"/>
          <w:szCs w:val="32"/>
          <w:highlight w:val="none"/>
          <w:lang w:val="en-US" w:eastAsia="zh-CN"/>
        </w:rPr>
        <w:t>1217.38</w:t>
      </w:r>
      <w:r>
        <w:rPr>
          <w:rFonts w:hint="eastAsia" w:ascii="仿宋_GB2312" w:hAnsi="仿宋_GB2312" w:eastAsia="仿宋_GB2312" w:cs="仿宋_GB2312"/>
          <w:sz w:val="32"/>
          <w:szCs w:val="32"/>
          <w:highlight w:val="none"/>
          <w:lang w:val="zh-CN"/>
        </w:rPr>
        <w:t>万元，其中：</w:t>
      </w:r>
      <w:r>
        <w:rPr>
          <w:rFonts w:hint="eastAsia" w:ascii="仿宋_GB2312" w:hAnsi="仿宋_GB2312" w:eastAsia="仿宋_GB2312" w:cs="仿宋_GB2312"/>
          <w:sz w:val="32"/>
          <w:szCs w:val="32"/>
          <w:highlight w:val="none"/>
          <w:lang w:val="en-US" w:eastAsia="zh-CN"/>
        </w:rPr>
        <w:t>行政运行824.76万元、</w:t>
      </w:r>
      <w:r>
        <w:rPr>
          <w:rFonts w:hint="eastAsia" w:ascii="仿宋_GB2312" w:hAnsi="仿宋_GB2312" w:eastAsia="仿宋_GB2312" w:cs="仿宋_GB2312"/>
          <w:sz w:val="32"/>
          <w:szCs w:val="32"/>
          <w:highlight w:val="none"/>
        </w:rPr>
        <w:t>机关事业单位职业年金缴费支出</w:t>
      </w:r>
      <w:r>
        <w:rPr>
          <w:rFonts w:hint="eastAsia" w:ascii="仿宋_GB2312" w:hAnsi="仿宋_GB2312" w:eastAsia="仿宋_GB2312" w:cs="仿宋_GB2312"/>
          <w:sz w:val="32"/>
          <w:szCs w:val="32"/>
          <w:highlight w:val="none"/>
          <w:lang w:val="en-US" w:eastAsia="zh-CN"/>
        </w:rPr>
        <w:t>9.14万元、行政单位医疗40.61万元、死亡抚恤31.69万元、其他政府办公厅（室）及相关机构事务支出97.22万元、机关事业单位基本养老保险缴费支出91.8万元、其他社会保障和就业支出11.05万元、其他人力资源和社会保障管理事务支出7.2万元、水利工程运行与维护103.91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2</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“三公”经费支出情况，“三公”经费年初预算万</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元，其中公务接待费</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万元，公务用车运</w:t>
      </w:r>
      <w:r>
        <w:rPr>
          <w:rFonts w:hint="eastAsia" w:ascii="仿宋_GB2312" w:hAnsi="仿宋_GB2312" w:eastAsia="仿宋_GB2312" w:cs="仿宋_GB2312"/>
          <w:sz w:val="32"/>
          <w:szCs w:val="32"/>
        </w:rPr>
        <w:t>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万元，出国考察经费   </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万元。实际“三公”经费支出</w:t>
      </w: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98.25</w:t>
      </w:r>
      <w:r>
        <w:rPr>
          <w:rFonts w:hint="eastAsia" w:ascii="仿宋_GB2312" w:hAnsi="仿宋_GB2312" w:eastAsia="仿宋_GB2312" w:cs="仿宋_GB2312"/>
          <w:sz w:val="32"/>
          <w:szCs w:val="32"/>
        </w:rPr>
        <w:t xml:space="preserve"> %，其中公务接待费</w:t>
      </w:r>
      <w:r>
        <w:rPr>
          <w:rFonts w:hint="eastAsia" w:ascii="仿宋_GB2312" w:hAnsi="仿宋_GB2312" w:eastAsia="仿宋_GB2312" w:cs="仿宋_GB2312"/>
          <w:sz w:val="32"/>
          <w:szCs w:val="32"/>
          <w:lang w:val="en-US" w:eastAsia="zh-CN"/>
        </w:rPr>
        <w:t>3.93</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98.25</w:t>
      </w:r>
      <w:r>
        <w:rPr>
          <w:rFonts w:hint="eastAsia" w:ascii="仿宋_GB2312" w:hAnsi="仿宋_GB2312" w:eastAsia="仿宋_GB2312" w:cs="仿宋_GB2312"/>
          <w:sz w:val="32"/>
          <w:szCs w:val="32"/>
        </w:rPr>
        <w:t>%，公务用车运行费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万元，占年初预算的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%，出国考察</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万元，占年初预算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%。“三公经费”结余</w:t>
      </w:r>
      <w:r>
        <w:rPr>
          <w:rFonts w:hint="eastAsia" w:ascii="仿宋_GB2312" w:hAnsi="仿宋_GB2312" w:eastAsia="仿宋_GB2312" w:cs="仿宋_GB2312"/>
          <w:sz w:val="32"/>
          <w:szCs w:val="32"/>
          <w:lang w:val="en-US" w:eastAsia="zh-CN"/>
        </w:rPr>
        <w:t>0.07</w:t>
      </w:r>
      <w:r>
        <w:rPr>
          <w:rFonts w:hint="eastAsia" w:ascii="仿宋_GB2312" w:hAnsi="仿宋_GB2312" w:eastAsia="仿宋_GB2312" w:cs="仿宋_GB2312"/>
          <w:sz w:val="32"/>
          <w:szCs w:val="32"/>
        </w:rPr>
        <w:t>万元，结余率</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资金管理情况(内部管理制度措施)</w:t>
      </w:r>
    </w:p>
    <w:p>
      <w:pPr>
        <w:spacing w:line="580" w:lineRule="exact"/>
        <w:ind w:firstLine="640" w:firstLineChars="200"/>
        <w:contextualSpacing/>
        <w:rPr>
          <w:rFonts w:eastAsia="仿宋_GB2312" w:cs="Arial"/>
          <w:sz w:val="32"/>
          <w:szCs w:val="32"/>
        </w:rPr>
      </w:pPr>
      <w:r>
        <w:rPr>
          <w:rFonts w:hint="eastAsia" w:eastAsia="仿宋_GB2312" w:cs="Arial"/>
          <w:sz w:val="32"/>
          <w:szCs w:val="32"/>
        </w:rPr>
        <w:t>（</w:t>
      </w:r>
      <w:r>
        <w:rPr>
          <w:rFonts w:eastAsia="仿宋_GB2312" w:cs="Arial"/>
          <w:sz w:val="32"/>
          <w:szCs w:val="32"/>
        </w:rPr>
        <w:t>1</w:t>
      </w:r>
      <w:r>
        <w:rPr>
          <w:rFonts w:hint="eastAsia" w:eastAsia="仿宋_GB2312" w:cs="Arial"/>
          <w:sz w:val="32"/>
          <w:szCs w:val="32"/>
        </w:rPr>
        <w:t>）严格执行各项管理制度</w:t>
      </w:r>
    </w:p>
    <w:p>
      <w:pPr>
        <w:spacing w:line="580" w:lineRule="exact"/>
        <w:ind w:firstLine="640" w:firstLineChars="200"/>
        <w:contextualSpacing/>
        <w:rPr>
          <w:rFonts w:eastAsia="仿宋_GB2312" w:cs="Arial"/>
          <w:sz w:val="32"/>
          <w:szCs w:val="32"/>
        </w:rPr>
      </w:pPr>
      <w:r>
        <w:rPr>
          <w:rFonts w:hint="eastAsia" w:eastAsia="仿宋_GB2312" w:cs="Arial"/>
          <w:sz w:val="32"/>
          <w:szCs w:val="32"/>
        </w:rPr>
        <w:t>我</w:t>
      </w:r>
      <w:r>
        <w:rPr>
          <w:rFonts w:hint="eastAsia" w:eastAsia="仿宋_GB2312" w:cs="Arial"/>
          <w:sz w:val="32"/>
          <w:szCs w:val="32"/>
          <w:lang w:eastAsia="zh-CN"/>
        </w:rPr>
        <w:t>单位</w:t>
      </w:r>
      <w:r>
        <w:rPr>
          <w:rFonts w:hint="eastAsia" w:eastAsia="仿宋_GB2312" w:cs="Arial"/>
          <w:sz w:val="32"/>
          <w:szCs w:val="32"/>
        </w:rPr>
        <w:t>财务管理严格依法依规，做到公开公平公正，在严格执行各项有关法律法规、财经纪律、财务规章制度的同时，预（决）算、政府采购、国库集中支付、专项资金管理等各项业务严格按照内部控制流程实施，财务管理水平、风险防控能力得到了全面提升。</w:t>
      </w:r>
    </w:p>
    <w:p>
      <w:pPr>
        <w:spacing w:line="580" w:lineRule="exact"/>
        <w:ind w:firstLine="640" w:firstLineChars="200"/>
        <w:contextualSpacing/>
        <w:rPr>
          <w:rFonts w:eastAsia="仿宋_GB2312" w:cs="Arial"/>
          <w:sz w:val="32"/>
          <w:szCs w:val="32"/>
        </w:rPr>
      </w:pPr>
      <w:r>
        <w:rPr>
          <w:rFonts w:hint="eastAsia" w:eastAsia="仿宋_GB2312" w:cs="Arial"/>
          <w:sz w:val="32"/>
          <w:szCs w:val="32"/>
        </w:rPr>
        <w:t>（</w:t>
      </w:r>
      <w:r>
        <w:rPr>
          <w:rFonts w:eastAsia="仿宋_GB2312" w:cs="Arial"/>
          <w:sz w:val="32"/>
          <w:szCs w:val="32"/>
        </w:rPr>
        <w:t>2</w:t>
      </w:r>
      <w:r>
        <w:rPr>
          <w:rFonts w:hint="eastAsia" w:eastAsia="仿宋_GB2312" w:cs="Arial"/>
          <w:sz w:val="32"/>
          <w:szCs w:val="32"/>
        </w:rPr>
        <w:t>）严格控制各项支出</w:t>
      </w:r>
    </w:p>
    <w:p>
      <w:pPr>
        <w:spacing w:line="580" w:lineRule="exact"/>
        <w:ind w:firstLine="640" w:firstLineChars="200"/>
        <w:contextualSpacing/>
        <w:rPr>
          <w:rFonts w:eastAsia="仿宋_GB2312" w:cs="Arial"/>
          <w:sz w:val="32"/>
          <w:szCs w:val="32"/>
        </w:rPr>
      </w:pPr>
      <w:r>
        <w:rPr>
          <w:rFonts w:hint="eastAsia" w:eastAsia="仿宋_GB2312" w:cs="Arial"/>
          <w:sz w:val="32"/>
          <w:szCs w:val="32"/>
        </w:rPr>
        <w:t>我</w:t>
      </w:r>
      <w:r>
        <w:rPr>
          <w:rFonts w:hint="eastAsia" w:eastAsia="仿宋_GB2312" w:cs="Arial"/>
          <w:sz w:val="32"/>
          <w:szCs w:val="32"/>
          <w:lang w:eastAsia="zh-CN"/>
        </w:rPr>
        <w:t>单位</w:t>
      </w:r>
      <w:r>
        <w:rPr>
          <w:rFonts w:hint="eastAsia" w:eastAsia="仿宋_GB2312" w:cs="Arial"/>
          <w:sz w:val="32"/>
          <w:szCs w:val="32"/>
        </w:rPr>
        <w:t>严格执行年初预算和财务管理制度执行，做到先有预算、后有开支，不得随意调整。“三公”经费控制有序，全年所有支出无挤占挪用项目资金情况，除个别项目因特殊原因略有超支外，其他均控制在预算范围之内。</w:t>
      </w:r>
    </w:p>
    <w:p>
      <w:pPr>
        <w:spacing w:line="580" w:lineRule="exact"/>
        <w:ind w:firstLine="640" w:firstLineChars="200"/>
        <w:contextualSpacing/>
        <w:rPr>
          <w:rFonts w:eastAsia="仿宋_GB2312" w:cs="Arial"/>
          <w:sz w:val="32"/>
          <w:szCs w:val="32"/>
        </w:rPr>
      </w:pPr>
      <w:r>
        <w:rPr>
          <w:rFonts w:hint="eastAsia" w:eastAsia="仿宋_GB2312" w:cs="Arial"/>
          <w:sz w:val="32"/>
          <w:szCs w:val="32"/>
        </w:rPr>
        <w:t>（</w:t>
      </w:r>
      <w:r>
        <w:rPr>
          <w:rFonts w:eastAsia="仿宋_GB2312" w:cs="Arial"/>
          <w:sz w:val="32"/>
          <w:szCs w:val="32"/>
        </w:rPr>
        <w:t>3</w:t>
      </w:r>
      <w:r>
        <w:rPr>
          <w:rFonts w:hint="eastAsia" w:eastAsia="仿宋_GB2312" w:cs="Arial"/>
          <w:sz w:val="32"/>
          <w:szCs w:val="32"/>
        </w:rPr>
        <w:t>）严格落实公示公开</w:t>
      </w:r>
    </w:p>
    <w:p>
      <w:pPr>
        <w:spacing w:line="580" w:lineRule="exact"/>
        <w:ind w:firstLine="640" w:firstLineChars="200"/>
        <w:contextualSpacing/>
        <w:rPr>
          <w:rFonts w:eastAsia="仿宋_GB2312" w:cs="Arial"/>
          <w:sz w:val="32"/>
          <w:szCs w:val="32"/>
        </w:rPr>
      </w:pPr>
      <w:r>
        <w:rPr>
          <w:rFonts w:hint="eastAsia" w:eastAsia="仿宋_GB2312" w:cs="Arial"/>
          <w:sz w:val="32"/>
          <w:szCs w:val="32"/>
        </w:rPr>
        <w:t>积极推进我</w:t>
      </w:r>
      <w:r>
        <w:rPr>
          <w:rFonts w:hint="eastAsia" w:eastAsia="仿宋_GB2312" w:cs="Arial"/>
          <w:sz w:val="32"/>
          <w:szCs w:val="32"/>
          <w:lang w:eastAsia="zh-CN"/>
        </w:rPr>
        <w:t>单位</w:t>
      </w:r>
      <w:r>
        <w:rPr>
          <w:rFonts w:hint="eastAsia" w:eastAsia="仿宋_GB2312" w:cs="Arial"/>
          <w:sz w:val="32"/>
          <w:szCs w:val="32"/>
        </w:rPr>
        <w:t>经费公开，自觉接受监督。我</w:t>
      </w:r>
      <w:r>
        <w:rPr>
          <w:rFonts w:hint="eastAsia" w:eastAsia="仿宋_GB2312" w:cs="Arial"/>
          <w:sz w:val="32"/>
          <w:szCs w:val="32"/>
          <w:lang w:eastAsia="zh-CN"/>
        </w:rPr>
        <w:t>单位</w:t>
      </w:r>
      <w:r>
        <w:rPr>
          <w:rFonts w:hint="eastAsia" w:eastAsia="仿宋_GB2312" w:cs="Arial"/>
          <w:sz w:val="32"/>
          <w:szCs w:val="32"/>
        </w:rPr>
        <w:t>按照要求在县委网站及时公开了部门预、决算和“三公经费”支出情况，做到了公开透明。</w:t>
      </w:r>
    </w:p>
    <w:p>
      <w:pPr>
        <w:spacing w:line="580" w:lineRule="exact"/>
        <w:ind w:firstLine="640" w:firstLineChars="200"/>
        <w:contextualSpacing/>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四、整体支出绩效目标完成情况  </w:t>
      </w:r>
    </w:p>
    <w:p>
      <w:pPr>
        <w:spacing w:line="580" w:lineRule="exact"/>
        <w:ind w:firstLine="640" w:firstLineChars="200"/>
        <w:contextualSpacing/>
        <w:rPr>
          <w:rFonts w:eastAsia="仿宋_GB2312" w:cs="Arial"/>
          <w:sz w:val="32"/>
          <w:szCs w:val="32"/>
        </w:rPr>
      </w:pPr>
      <w:r>
        <w:rPr>
          <w:rFonts w:hint="eastAsia" w:eastAsia="仿宋_GB2312" w:cs="Arial"/>
          <w:sz w:val="32"/>
          <w:szCs w:val="32"/>
          <w:lang w:eastAsia="zh-CN"/>
        </w:rPr>
        <w:t>我局按照年初绩效目标完成</w:t>
      </w:r>
      <w:r>
        <w:rPr>
          <w:rFonts w:hint="eastAsia" w:eastAsia="仿宋_GB2312" w:cs="Arial"/>
          <w:sz w:val="32"/>
          <w:szCs w:val="32"/>
          <w:lang w:val="en-US" w:eastAsia="zh-CN"/>
        </w:rPr>
        <w:t>2023</w:t>
      </w:r>
      <w:r>
        <w:rPr>
          <w:rFonts w:hint="eastAsia" w:eastAsia="仿宋_GB2312" w:cs="Arial"/>
          <w:sz w:val="32"/>
          <w:szCs w:val="32"/>
          <w:lang w:eastAsia="zh-CN"/>
        </w:rPr>
        <w:t>年度各项任务的同时，积极实现水利建设项目运行管理的长效机制，确保水利工程良性运行，按照“规模化发展、标准化建设、规范化管理”的思路和“建的成、管的好、用的起、长收益”的要求，努力解决目前水利项目建设存在的主要问题</w:t>
      </w:r>
      <w:r>
        <w:rPr>
          <w:rFonts w:hint="eastAsia" w:eastAsia="仿宋_GB2312" w:cs="Arial"/>
          <w:sz w:val="32"/>
          <w:szCs w:val="32"/>
        </w:rPr>
        <w:t>。</w:t>
      </w:r>
    </w:p>
    <w:p>
      <w:pPr>
        <w:numPr>
          <w:ilvl w:val="0"/>
          <w:numId w:val="2"/>
        </w:numPr>
        <w:spacing w:line="580" w:lineRule="exact"/>
        <w:ind w:firstLine="640" w:firstLineChars="200"/>
        <w:contextualSpacing/>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numPr>
          <w:ilvl w:val="0"/>
          <w:numId w:val="0"/>
        </w:numPr>
        <w:spacing w:line="580" w:lineRule="exact"/>
        <w:ind w:firstLine="640" w:firstLineChars="200"/>
        <w:contextualSpacing/>
        <w:rPr>
          <w:rFonts w:hint="eastAsia" w:ascii="仿宋_GB2312" w:hAnsi="仿宋_GB2312" w:eastAsia="仿宋_GB2312" w:cs="仿宋_GB2312"/>
          <w:sz w:val="32"/>
          <w:szCs w:val="32"/>
          <w:highlight w:val="yellow"/>
        </w:rPr>
      </w:pPr>
      <w:r>
        <w:rPr>
          <w:rFonts w:hint="eastAsia" w:eastAsia="仿宋_GB2312" w:cs="Arial"/>
          <w:sz w:val="32"/>
          <w:szCs w:val="32"/>
          <w:lang w:val="en-US" w:eastAsia="zh-CN"/>
        </w:rPr>
        <w:t>1</w:t>
      </w:r>
      <w:r>
        <w:rPr>
          <w:rFonts w:hint="eastAsia" w:eastAsia="仿宋_GB2312" w:cs="Arial"/>
          <w:sz w:val="32"/>
          <w:szCs w:val="32"/>
        </w:rPr>
        <w:t>、年初财政预算安排资金有限，财政预算的经费不足导致一些工作无法正常开展。</w:t>
      </w:r>
    </w:p>
    <w:p>
      <w:pPr>
        <w:spacing w:line="580" w:lineRule="exact"/>
        <w:ind w:firstLine="640" w:firstLineChars="200"/>
        <w:contextualSpacing/>
        <w:rPr>
          <w:rFonts w:hint="eastAsia" w:ascii="黑体" w:hAnsi="黑体" w:eastAsia="黑体" w:cs="黑体"/>
          <w:b w:val="0"/>
          <w:bCs w:val="0"/>
          <w:sz w:val="32"/>
          <w:szCs w:val="32"/>
        </w:rPr>
      </w:pPr>
      <w:r>
        <w:rPr>
          <w:rFonts w:hint="eastAsia" w:ascii="黑体" w:hAnsi="黑体" w:eastAsia="黑体" w:cs="黑体"/>
          <w:b w:val="0"/>
          <w:bCs w:val="0"/>
          <w:sz w:val="32"/>
          <w:szCs w:val="32"/>
        </w:rPr>
        <w:t>六、改进措施与建议</w:t>
      </w:r>
    </w:p>
    <w:p>
      <w:pPr>
        <w:spacing w:line="580" w:lineRule="exact"/>
        <w:ind w:firstLine="640" w:firstLineChars="200"/>
        <w:contextualSpacing/>
        <w:rPr>
          <w:rFonts w:eastAsia="仿宋_GB2312" w:cs="Arial"/>
          <w:sz w:val="32"/>
          <w:szCs w:val="32"/>
        </w:rPr>
      </w:pPr>
      <w:r>
        <w:rPr>
          <w:rFonts w:eastAsia="仿宋_GB2312" w:cs="Arial"/>
          <w:sz w:val="32"/>
          <w:szCs w:val="32"/>
        </w:rPr>
        <w:t>1</w:t>
      </w:r>
      <w:r>
        <w:rPr>
          <w:rFonts w:hint="eastAsia" w:eastAsia="仿宋_GB2312" w:cs="Arial"/>
          <w:sz w:val="32"/>
          <w:szCs w:val="32"/>
        </w:rPr>
        <w:t>、建议县级财政预算足额安排好工作经费，确保实施到位，有力保障</w:t>
      </w:r>
      <w:r>
        <w:rPr>
          <w:rFonts w:hint="eastAsia" w:eastAsia="仿宋_GB2312" w:cs="Arial"/>
          <w:sz w:val="32"/>
          <w:szCs w:val="32"/>
          <w:lang w:eastAsia="zh-CN"/>
        </w:rPr>
        <w:t>水利项目正常运转、</w:t>
      </w:r>
      <w:r>
        <w:rPr>
          <w:rFonts w:hint="eastAsia" w:eastAsia="仿宋_GB2312" w:cs="Arial"/>
          <w:sz w:val="32"/>
          <w:szCs w:val="32"/>
        </w:rPr>
        <w:t>快速发展。</w:t>
      </w:r>
    </w:p>
    <w:p>
      <w:pPr>
        <w:spacing w:line="580" w:lineRule="exact"/>
        <w:ind w:firstLine="640" w:firstLineChars="200"/>
        <w:contextualSpacing/>
        <w:rPr>
          <w:rFonts w:hint="eastAsia" w:eastAsia="仿宋_GB2312" w:cs="Arial"/>
          <w:sz w:val="32"/>
          <w:szCs w:val="32"/>
        </w:rPr>
      </w:pPr>
      <w:r>
        <w:rPr>
          <w:rFonts w:eastAsia="仿宋_GB2312" w:cs="Arial"/>
          <w:sz w:val="32"/>
          <w:szCs w:val="32"/>
        </w:rPr>
        <w:t>2</w:t>
      </w:r>
      <w:r>
        <w:rPr>
          <w:rFonts w:hint="eastAsia" w:eastAsia="仿宋_GB2312" w:cs="Arial"/>
          <w:sz w:val="32"/>
          <w:szCs w:val="32"/>
        </w:rPr>
        <w:t>、加强法规、制度学习，科学合理编制预算，严格执行预算。组织相关人员认真学习《预算法》、《事业单位会计制度》、《事业单位财务规则》、等相关法规、制度，提高单位领导对全面预算管理的高度重视，增强财务人员的预算意识，坚持先有预算、后有支出，没有预算不得支出。做到决算与预算相衔接，切实提高部门收支管理水平，结合实际情况，完整、准确地披露相关信息。 </w:t>
      </w:r>
    </w:p>
    <w:p>
      <w:pPr>
        <w:spacing w:line="580" w:lineRule="exact"/>
        <w:ind w:firstLine="640" w:firstLineChars="200"/>
        <w:contextualSpacing/>
        <w:rPr>
          <w:rFonts w:hint="eastAsia" w:eastAsia="仿宋_GB2312" w:cs="Arial"/>
          <w:sz w:val="32"/>
          <w:szCs w:val="32"/>
        </w:rPr>
      </w:pPr>
    </w:p>
    <w:p>
      <w:pPr>
        <w:spacing w:line="580" w:lineRule="exact"/>
        <w:ind w:firstLine="640" w:firstLineChars="200"/>
        <w:contextualSpacing/>
        <w:rPr>
          <w:rFonts w:hint="eastAsia" w:eastAsia="仿宋_GB2312" w:cs="Arial"/>
          <w:sz w:val="32"/>
          <w:szCs w:val="32"/>
        </w:rPr>
      </w:pPr>
    </w:p>
    <w:p>
      <w:pPr>
        <w:spacing w:line="580" w:lineRule="exact"/>
        <w:ind w:firstLine="640" w:firstLineChars="200"/>
        <w:contextualSpacing/>
        <w:rPr>
          <w:rFonts w:hint="eastAsia" w:ascii="仿宋" w:hAnsi="仿宋" w:eastAsia="仿宋" w:cs="仿宋"/>
          <w:sz w:val="32"/>
          <w:szCs w:val="32"/>
          <w:lang w:val="en-US" w:eastAsia="zh-CN"/>
        </w:rPr>
      </w:pPr>
      <w:r>
        <w:rPr>
          <w:rFonts w:hint="eastAsia" w:eastAsia="仿宋_GB2312" w:cs="Arial"/>
          <w:sz w:val="32"/>
          <w:szCs w:val="32"/>
          <w:lang w:val="en-US" w:eastAsia="zh-CN"/>
        </w:rPr>
        <w:t xml:space="preserve">                              </w:t>
      </w:r>
      <w:r>
        <w:rPr>
          <w:rFonts w:hint="eastAsia" w:ascii="仿宋" w:hAnsi="仿宋" w:eastAsia="仿宋" w:cs="仿宋"/>
          <w:sz w:val="32"/>
          <w:szCs w:val="32"/>
          <w:lang w:val="en-US" w:eastAsia="zh-CN"/>
        </w:rPr>
        <w:t xml:space="preserve"> 麻阳苗族自治县水利局</w:t>
      </w:r>
    </w:p>
    <w:p>
      <w:pPr>
        <w:spacing w:line="580" w:lineRule="exact"/>
        <w:ind w:firstLine="640" w:firstLineChars="200"/>
        <w:contextualSpacing/>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2024年9月14日</w:t>
      </w:r>
    </w:p>
    <w:p>
      <w:pPr>
        <w:spacing w:line="580" w:lineRule="exact"/>
        <w:ind w:firstLine="640" w:firstLineChars="200"/>
        <w:contextualSpacing/>
        <w:rPr>
          <w:rFonts w:hint="eastAsia" w:eastAsia="仿宋_GB2312" w:cs="Arial"/>
          <w:sz w:val="32"/>
          <w:szCs w:val="32"/>
        </w:rPr>
      </w:pPr>
    </w:p>
    <w:p>
      <w:pPr>
        <w:spacing w:line="580" w:lineRule="exact"/>
        <w:ind w:firstLine="640" w:firstLineChars="200"/>
        <w:contextualSpacing/>
        <w:rPr>
          <w:rFonts w:hint="eastAsia" w:eastAsia="仿宋_GB2312" w:cs="Arial"/>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60" w:lineRule="exact"/>
        <w:rPr>
          <w:rFonts w:hint="eastAsia" w:ascii="黑体" w:hAnsi="黑体" w:eastAsia="黑体" w:cs="黑体"/>
          <w:sz w:val="32"/>
          <w:szCs w:val="32"/>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部门整体支出绩效评价指标表</w:t>
      </w:r>
    </w:p>
    <w:p>
      <w:pPr>
        <w:spacing w:line="560" w:lineRule="exact"/>
        <w:jc w:val="center"/>
        <w:rPr>
          <w:rFonts w:hint="eastAsia" w:ascii="方正小标宋简体" w:hAnsi="方正小标宋简体" w:eastAsia="方正小标宋简体" w:cs="方正小标宋简体"/>
          <w:sz w:val="44"/>
          <w:szCs w:val="44"/>
        </w:rPr>
      </w:pPr>
    </w:p>
    <w:tbl>
      <w:tblPr>
        <w:tblStyle w:val="4"/>
        <w:tblW w:w="105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511"/>
        <w:gridCol w:w="456"/>
        <w:gridCol w:w="668"/>
        <w:gridCol w:w="533"/>
        <w:gridCol w:w="990"/>
        <w:gridCol w:w="390"/>
        <w:gridCol w:w="2977"/>
        <w:gridCol w:w="3445"/>
        <w:gridCol w:w="6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blHeader/>
          <w:jc w:val="center"/>
        </w:trPr>
        <w:tc>
          <w:tcPr>
            <w:tcW w:w="51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一级指标</w:t>
            </w:r>
          </w:p>
        </w:tc>
        <w:tc>
          <w:tcPr>
            <w:tcW w:w="456"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668"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二级指标</w:t>
            </w:r>
          </w:p>
        </w:tc>
        <w:tc>
          <w:tcPr>
            <w:tcW w:w="533"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9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三级</w:t>
            </w:r>
          </w:p>
          <w:p>
            <w:pPr>
              <w:widowControl/>
              <w:jc w:val="center"/>
              <w:rPr>
                <w:rFonts w:ascii="仿宋" w:eastAsia="仿宋"/>
                <w:sz w:val="24"/>
                <w:szCs w:val="24"/>
              </w:rPr>
            </w:pPr>
            <w:r>
              <w:rPr>
                <w:rFonts w:ascii="仿宋" w:eastAsia="仿宋"/>
                <w:sz w:val="24"/>
                <w:szCs w:val="24"/>
              </w:rPr>
              <w:t>指标</w:t>
            </w:r>
          </w:p>
        </w:tc>
        <w:tc>
          <w:tcPr>
            <w:tcW w:w="390"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分值</w:t>
            </w:r>
          </w:p>
        </w:tc>
        <w:tc>
          <w:tcPr>
            <w:tcW w:w="2977"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评价标准</w:t>
            </w:r>
          </w:p>
        </w:tc>
        <w:tc>
          <w:tcPr>
            <w:tcW w:w="3445"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指标说明</w:t>
            </w:r>
          </w:p>
        </w:tc>
        <w:tc>
          <w:tcPr>
            <w:tcW w:w="629" w:type="dxa"/>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14" w:hRule="atLeast"/>
          <w:jc w:val="center"/>
        </w:trPr>
        <w:tc>
          <w:tcPr>
            <w:tcW w:w="51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投入</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68" w:type="dxa"/>
            <w:vMerge w:val="restart"/>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预算配置</w:t>
            </w:r>
          </w:p>
        </w:tc>
        <w:tc>
          <w:tcPr>
            <w:tcW w:w="53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在职人员控制率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Mar>
              <w:left w:w="108" w:type="dxa"/>
              <w:right w:w="108" w:type="dxa"/>
            </w:tcMar>
            <w:vAlign w:val="center"/>
          </w:tcPr>
          <w:p>
            <w:pPr>
              <w:widowControl/>
              <w:jc w:val="left"/>
              <w:rPr>
                <w:rFonts w:ascii="仿宋" w:eastAsia="仿宋"/>
                <w:sz w:val="24"/>
                <w:szCs w:val="24"/>
              </w:rPr>
            </w:pPr>
            <w:r>
              <w:rPr>
                <w:rFonts w:ascii="仿宋" w:eastAsia="仿宋"/>
                <w:sz w:val="24"/>
                <w:szCs w:val="24"/>
              </w:rPr>
              <w:t>以100%为标准。在职人员控制率≦100%，计5分；每超过一个百分点扣0.5分，扣完为止。</w:t>
            </w:r>
          </w:p>
        </w:tc>
        <w:tc>
          <w:tcPr>
            <w:tcW w:w="3445"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在职人员控制率=（在职人员数/编制数）×100%，在职人员数：部门（单位）实际在职人数，以财政确定的部门决算编制口径为准。</w:t>
            </w:r>
          </w:p>
          <w:p>
            <w:pPr>
              <w:widowControl/>
              <w:jc w:val="left"/>
              <w:rPr>
                <w:rFonts w:ascii="仿宋" w:eastAsia="仿宋"/>
                <w:sz w:val="24"/>
                <w:szCs w:val="24"/>
              </w:rPr>
            </w:pPr>
            <w:r>
              <w:rPr>
                <w:rFonts w:ascii="仿宋" w:eastAsia="仿宋"/>
                <w:sz w:val="24"/>
                <w:szCs w:val="24"/>
              </w:rPr>
              <w:t>编制数：机构编制部门核定批复的部门（单位）的人员编制数。</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top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“三公经费”变动率≦0,计</w:t>
            </w:r>
            <w:r>
              <w:rPr>
                <w:rFonts w:hint="eastAsia" w:ascii="仿宋" w:eastAsia="仿宋"/>
                <w:sz w:val="24"/>
                <w:szCs w:val="24"/>
              </w:rPr>
              <w:t>5</w:t>
            </w:r>
            <w:r>
              <w:rPr>
                <w:rFonts w:ascii="仿宋" w:eastAsia="仿宋"/>
                <w:sz w:val="24"/>
                <w:szCs w:val="24"/>
              </w:rPr>
              <w:t>分；“三公经费”＞0，每超过一个百分点扣0.</w:t>
            </w:r>
            <w:r>
              <w:rPr>
                <w:rFonts w:hint="eastAsia" w:ascii="仿宋" w:eastAsia="仿宋"/>
                <w:sz w:val="24"/>
                <w:szCs w:val="24"/>
              </w:rPr>
              <w:t>5</w:t>
            </w:r>
            <w:r>
              <w:rPr>
                <w:rFonts w:ascii="仿宋" w:eastAsia="仿宋"/>
                <w:sz w:val="24"/>
                <w:szCs w:val="24"/>
              </w:rPr>
              <w:t>分，扣完为止。</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“三公经费”变动率=[（本年度“三公经费”预算数-上年度“三公经费”预算数）/上年度“三公经费”预算数]×100%</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过                                                                                                                                       程</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60</w:t>
            </w:r>
          </w:p>
        </w:tc>
        <w:tc>
          <w:tcPr>
            <w:tcW w:w="66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预算执行</w:t>
            </w:r>
          </w:p>
        </w:tc>
        <w:tc>
          <w:tcPr>
            <w:tcW w:w="53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20</w:t>
            </w: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100%计满分，每低于</w:t>
            </w:r>
            <w:r>
              <w:rPr>
                <w:rFonts w:hint="eastAsia" w:ascii="仿宋" w:eastAsia="仿宋"/>
                <w:sz w:val="24"/>
                <w:szCs w:val="24"/>
              </w:rPr>
              <w:t>5个百分点</w:t>
            </w:r>
            <w:r>
              <w:rPr>
                <w:rFonts w:ascii="仿宋" w:eastAsia="仿宋"/>
                <w:sz w:val="24"/>
                <w:szCs w:val="24"/>
              </w:rPr>
              <w:t>扣2分，扣完为止。</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预算完成率=（上年结转+年初预算+本年追加预算-年末结余）/（上年结转+年初预算+本年追加预算）×100%。</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273" w:hRule="atLeast"/>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预算控制率=0，计5分；0-10%（含），计4分；10-20%（含），计3分；20-30%（含），计2分；大于30%不得分。</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预算控制率=（本年追加预算/年初预算）×100%。</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325" w:hRule="atLeast"/>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新建楼堂馆所面积控制率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100%以下（含）计满分，每超出5%扣2分，扣完为止。没有楼堂馆所项目的部门按满分计算。</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楼堂馆所面积控制率=实际建设面积/批准建设面积×100%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693" w:hRule="atLeast"/>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新建楼堂馆所投资概算控制率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100%以下（含）计满分，每超出5%扣2分，扣完为止。</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楼堂馆所投资预算控制率=实际投资金额/批准投资金额×100% 。</w:t>
            </w:r>
          </w:p>
          <w:p>
            <w:pPr>
              <w:widowControl/>
              <w:jc w:val="left"/>
              <w:rPr>
                <w:rFonts w:ascii="仿宋" w:eastAsia="仿宋"/>
                <w:sz w:val="24"/>
                <w:szCs w:val="24"/>
              </w:rPr>
            </w:pPr>
            <w:r>
              <w:rPr>
                <w:rFonts w:ascii="仿宋" w:eastAsia="仿宋"/>
                <w:sz w:val="24"/>
                <w:szCs w:val="24"/>
              </w:rPr>
              <w:t>该指标以201</w:t>
            </w:r>
            <w:r>
              <w:rPr>
                <w:rFonts w:hint="eastAsia" w:ascii="仿宋" w:eastAsia="仿宋"/>
                <w:sz w:val="24"/>
                <w:szCs w:val="24"/>
              </w:rPr>
              <w:t>7</w:t>
            </w:r>
            <w:r>
              <w:rPr>
                <w:rFonts w:ascii="仿宋" w:eastAsia="仿宋"/>
                <w:sz w:val="24"/>
                <w:szCs w:val="24"/>
              </w:rPr>
              <w:t>年完工的新建楼堂馆所为评价内容。</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562" w:hRule="atLeast"/>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预算管理</w:t>
            </w:r>
          </w:p>
        </w:tc>
        <w:tc>
          <w:tcPr>
            <w:tcW w:w="53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default" w:ascii="仿宋" w:eastAsia="仿宋"/>
                <w:sz w:val="24"/>
                <w:szCs w:val="24"/>
                <w:lang w:val="en-US" w:eastAsia="zh-CN"/>
              </w:rPr>
            </w:pPr>
            <w:r>
              <w:rPr>
                <w:rFonts w:hint="eastAsia" w:ascii="仿宋" w:eastAsia="仿宋"/>
                <w:sz w:val="24"/>
                <w:szCs w:val="24"/>
                <w:lang w:val="en-US" w:eastAsia="zh-CN"/>
              </w:rPr>
              <w:t>40</w:t>
            </w: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公用经费控制率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公用经费控制率=（实际支出公用经费总额/预算安排公用经费总额）×100%。</w:t>
            </w:r>
          </w:p>
          <w:p>
            <w:pPr>
              <w:widowControl/>
              <w:jc w:val="left"/>
              <w:rPr>
                <w:rFonts w:ascii="仿宋" w:eastAsia="仿宋"/>
                <w:sz w:val="24"/>
                <w:szCs w:val="24"/>
              </w:rPr>
            </w:pPr>
            <w:r>
              <w:rPr>
                <w:rFonts w:ascii="仿宋" w:eastAsia="仿宋"/>
                <w:sz w:val="24"/>
                <w:szCs w:val="24"/>
              </w:rPr>
              <w:t>公用经费支出是指部门基本支出中的一般商品和服务支出。</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3" w:hRule="atLeast"/>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7</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100%以下（含）计满分，每超出1%扣1分，扣完为止。</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“三公经费”控制率-（“三公经费”实际支出数/“三公经费”预算安排数）×100%。</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918" w:hRule="atLeast"/>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100%计满分，每超过（降低）5%扣2分。扣完为止。</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政府采购执行率=（实际政府采购金额/政府采购预算数）×100%</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r>
              <w:rPr>
                <w:rFonts w:ascii="仿宋" w:eastAsia="仿宋"/>
                <w:sz w:val="24"/>
                <w:szCs w:val="24"/>
              </w:rPr>
              <w:t>过                                                                                                                                       程</w:t>
            </w:r>
          </w:p>
        </w:tc>
        <w:tc>
          <w:tcPr>
            <w:tcW w:w="456"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left"/>
              <w:rPr>
                <w:rFonts w:ascii="仿宋" w:eastAsia="仿宋"/>
                <w:sz w:val="24"/>
                <w:szCs w:val="24"/>
              </w:rPr>
            </w:pPr>
          </w:p>
        </w:tc>
        <w:tc>
          <w:tcPr>
            <w:tcW w:w="668" w:type="dxa"/>
            <w:vMerge w:val="restart"/>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预算管理</w:t>
            </w: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管理制度健全性</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①有内部财务管理制度、会计核算制度等管理制度，2分；</w:t>
            </w:r>
          </w:p>
          <w:p>
            <w:pPr>
              <w:widowControl/>
              <w:jc w:val="left"/>
              <w:rPr>
                <w:rFonts w:hint="eastAsia" w:ascii="仿宋" w:eastAsia="仿宋"/>
                <w:sz w:val="24"/>
                <w:szCs w:val="24"/>
                <w:lang w:eastAsia="zh-CN"/>
              </w:rPr>
            </w:pPr>
            <w:r>
              <w:rPr>
                <w:rFonts w:ascii="仿宋" w:eastAsia="仿宋"/>
                <w:sz w:val="24"/>
                <w:szCs w:val="24"/>
              </w:rPr>
              <w:t>②有本部门厉行节约制度,2分；</w:t>
            </w:r>
          </w:p>
          <w:p>
            <w:pPr>
              <w:widowControl/>
              <w:jc w:val="left"/>
              <w:rPr>
                <w:rFonts w:ascii="仿宋" w:eastAsia="仿宋"/>
                <w:sz w:val="24"/>
                <w:szCs w:val="24"/>
              </w:rPr>
            </w:pPr>
            <w:r>
              <w:rPr>
                <w:rFonts w:ascii="仿宋" w:eastAsia="仿宋"/>
                <w:sz w:val="24"/>
                <w:szCs w:val="24"/>
              </w:rPr>
              <w:t>③相关管理制度合法、合规、完整，2分；④相关管理制度得到有效执行，2分。</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36" w:hRule="atLeast"/>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资金使用合规性</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①支出符合国家财经法规和财务管理制度规定以及有关专项资金管理办法的规定；②资金拨付有完整的审批程序和手续；③项目支出按规定经过评估论证；④支出符合部门预算批复的用途；⑤资金使用无截留、挤占、挪用、虚列支出等情况。</w:t>
            </w:r>
          </w:p>
          <w:p>
            <w:pPr>
              <w:widowControl/>
              <w:jc w:val="left"/>
              <w:rPr>
                <w:rFonts w:ascii="仿宋" w:eastAsia="仿宋"/>
                <w:sz w:val="24"/>
                <w:szCs w:val="24"/>
              </w:rPr>
            </w:pPr>
            <w:r>
              <w:rPr>
                <w:rFonts w:ascii="仿宋" w:eastAsia="仿宋"/>
                <w:sz w:val="24"/>
                <w:szCs w:val="24"/>
              </w:rPr>
              <w:t>以上情况每出现一例不符合要求的扣1分，扣完为止。</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auto" w:sz="4" w:space="0"/>
              <w:right w:val="single" w:color="000000" w:sz="4" w:space="0"/>
            </w:tcBorders>
            <w:tcMar>
              <w:left w:w="108" w:type="dxa"/>
              <w:right w:w="108" w:type="dxa"/>
            </w:tcMar>
            <w:vAlign w:val="center"/>
          </w:tcPr>
          <w:p/>
        </w:tc>
        <w:tc>
          <w:tcPr>
            <w:tcW w:w="990" w:type="dxa"/>
            <w:tcBorders>
              <w:bottom w:val="single" w:color="auto"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预决算信息公开性</w:t>
            </w:r>
          </w:p>
        </w:tc>
        <w:tc>
          <w:tcPr>
            <w:tcW w:w="390" w:type="dxa"/>
            <w:tcBorders>
              <w:bottom w:val="single" w:color="auto"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5</w:t>
            </w:r>
          </w:p>
        </w:tc>
        <w:tc>
          <w:tcPr>
            <w:tcW w:w="2977" w:type="dxa"/>
            <w:tcBorders>
              <w:bottom w:val="single" w:color="auto"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①按规定内容公开预决算信息，1分；②按规定时限公开预决算信息，1分；③基础数据信息和会计信息资料真实，1分；④基础数据信息和会计信息资料完整，1分；⑤基础数据信息和汇集信息资料准确，1分。</w:t>
            </w:r>
          </w:p>
        </w:tc>
        <w:tc>
          <w:tcPr>
            <w:tcW w:w="3445" w:type="dxa"/>
            <w:tcBorders>
              <w:bottom w:val="single" w:color="auto"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预决算信息是指与部门预算、执行、决算、监督、绩效等管理相关的信息。</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产出及效率</w:t>
            </w:r>
          </w:p>
        </w:tc>
        <w:tc>
          <w:tcPr>
            <w:tcW w:w="456"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30</w:t>
            </w:r>
          </w:p>
        </w:tc>
        <w:tc>
          <w:tcPr>
            <w:tcW w:w="668" w:type="dxa"/>
            <w:tcBorders>
              <w:bottom w:val="single" w:color="000000" w:sz="4" w:space="0"/>
              <w:right w:val="single" w:color="auto"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职责履行</w:t>
            </w:r>
          </w:p>
        </w:tc>
        <w:tc>
          <w:tcPr>
            <w:tcW w:w="533"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99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重点工作实际完成率</w:t>
            </w:r>
          </w:p>
        </w:tc>
        <w:tc>
          <w:tcPr>
            <w:tcW w:w="39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8</w:t>
            </w:r>
          </w:p>
        </w:tc>
        <w:tc>
          <w:tcPr>
            <w:tcW w:w="297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根据绩效办201</w:t>
            </w:r>
            <w:r>
              <w:rPr>
                <w:rFonts w:hint="eastAsia" w:ascii="仿宋" w:eastAsia="仿宋"/>
                <w:sz w:val="24"/>
                <w:szCs w:val="24"/>
              </w:rPr>
              <w:t>8</w:t>
            </w:r>
            <w:r>
              <w:rPr>
                <w:rFonts w:ascii="仿宋" w:eastAsia="仿宋"/>
                <w:sz w:val="24"/>
                <w:szCs w:val="24"/>
              </w:rPr>
              <w:t>年对各部门为民办实事和部门重点工程与重点工作考核分数折算。</w:t>
            </w:r>
          </w:p>
          <w:p>
            <w:pPr>
              <w:widowControl/>
              <w:jc w:val="left"/>
              <w:rPr>
                <w:rFonts w:ascii="仿宋" w:eastAsia="仿宋"/>
                <w:sz w:val="24"/>
                <w:szCs w:val="24"/>
              </w:rPr>
            </w:pPr>
            <w:r>
              <w:rPr>
                <w:rFonts w:ascii="仿宋" w:eastAsia="仿宋"/>
                <w:sz w:val="24"/>
                <w:szCs w:val="24"/>
              </w:rPr>
              <w:t>该项得分=（绩效办对应部分考核得分/</w:t>
            </w:r>
            <w:r>
              <w:rPr>
                <w:rFonts w:hint="eastAsia" w:ascii="仿宋" w:eastAsia="仿宋"/>
                <w:sz w:val="24"/>
                <w:szCs w:val="24"/>
              </w:rPr>
              <w:t>100</w:t>
            </w:r>
            <w:r>
              <w:rPr>
                <w:rFonts w:ascii="仿宋" w:eastAsia="仿宋"/>
                <w:sz w:val="24"/>
                <w:szCs w:val="24"/>
              </w:rPr>
              <w:t>）*8</w:t>
            </w:r>
          </w:p>
        </w:tc>
        <w:tc>
          <w:tcPr>
            <w:tcW w:w="34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　</w:t>
            </w:r>
          </w:p>
        </w:tc>
        <w:tc>
          <w:tcPr>
            <w:tcW w:w="629" w:type="dxa"/>
            <w:tcBorders>
              <w:left w:val="single" w:color="auto" w:sz="4" w:space="0"/>
              <w:bottom w:val="single" w:color="auto"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履职 效益</w:t>
            </w:r>
          </w:p>
        </w:tc>
        <w:tc>
          <w:tcPr>
            <w:tcW w:w="533" w:type="dxa"/>
            <w:vMerge w:val="restart"/>
            <w:tcBorders>
              <w:top w:val="single" w:color="auto" w:sz="4" w:space="0"/>
              <w:left w:val="single" w:color="000000" w:sz="4" w:space="0"/>
              <w:bottom w:val="single" w:color="000000" w:sz="4" w:space="0"/>
              <w:right w:val="single" w:color="auto"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99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经济效益</w:t>
            </w:r>
          </w:p>
        </w:tc>
        <w:tc>
          <w:tcPr>
            <w:tcW w:w="390"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10</w:t>
            </w:r>
          </w:p>
        </w:tc>
        <w:tc>
          <w:tcPr>
            <w:tcW w:w="6422" w:type="dxa"/>
            <w:gridSpan w:val="2"/>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此两项指标为设置部门整体支出绩效评价指标时必须考虑的共性要素，可根据部门实际情况有选择的进行设置，并将其细化为相应的个性化指标。</w:t>
            </w:r>
          </w:p>
        </w:tc>
        <w:tc>
          <w:tcPr>
            <w:tcW w:w="62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auto" w:sz="4" w:space="0"/>
            </w:tcBorders>
            <w:tcMar>
              <w:left w:w="108" w:type="dxa"/>
              <w:right w:w="108" w:type="dxa"/>
            </w:tcMar>
            <w:vAlign w:val="center"/>
          </w:tcPr>
          <w:p/>
        </w:tc>
        <w:tc>
          <w:tcPr>
            <w:tcW w:w="990"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社会效益</w:t>
            </w:r>
          </w:p>
        </w:tc>
        <w:tc>
          <w:tcPr>
            <w:tcW w:w="390"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tc>
        <w:tc>
          <w:tcPr>
            <w:tcW w:w="6422" w:type="dxa"/>
            <w:gridSpan w:val="2"/>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tc>
        <w:tc>
          <w:tcPr>
            <w:tcW w:w="62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widowControl/>
              <w:jc w:val="left"/>
              <w:rPr>
                <w:rFonts w:hint="default"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12</w:t>
            </w:r>
          </w:p>
        </w:tc>
        <w:tc>
          <w:tcPr>
            <w:tcW w:w="990" w:type="dxa"/>
            <w:tcBorders>
              <w:top w:val="single" w:color="auto"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行政效能</w:t>
            </w:r>
          </w:p>
        </w:tc>
        <w:tc>
          <w:tcPr>
            <w:tcW w:w="390" w:type="dxa"/>
            <w:tcBorders>
              <w:top w:val="single" w:color="auto"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top w:val="single" w:color="auto"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促进部门改进文风会风，加强经费及资产管理，推动网上办事，提高行政效率，降低行政成本效果较好的计6分；一般3分；无效果或者效果不明显0分。</w:t>
            </w:r>
          </w:p>
        </w:tc>
        <w:tc>
          <w:tcPr>
            <w:tcW w:w="3445" w:type="dxa"/>
            <w:tcBorders>
              <w:top w:val="single" w:color="auto"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根据部门自评材料评定。</w:t>
            </w:r>
          </w:p>
        </w:tc>
        <w:tc>
          <w:tcPr>
            <w:tcW w:w="629" w:type="dxa"/>
            <w:tcBorders>
              <w:top w:val="single" w:color="auto"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jc w:val="center"/>
        </w:trPr>
        <w:tc>
          <w:tcPr>
            <w:tcW w:w="511"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456"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668"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533"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99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社会公众或服务对象满意度</w:t>
            </w:r>
          </w:p>
        </w:tc>
        <w:tc>
          <w:tcPr>
            <w:tcW w:w="3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szCs w:val="24"/>
              </w:rPr>
            </w:pPr>
            <w:r>
              <w:rPr>
                <w:rFonts w:ascii="仿宋" w:eastAsia="仿宋"/>
                <w:sz w:val="24"/>
                <w:szCs w:val="24"/>
              </w:rPr>
              <w:t>6</w:t>
            </w:r>
          </w:p>
        </w:tc>
        <w:tc>
          <w:tcPr>
            <w:tcW w:w="2977"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eastAsia="zh-CN"/>
              </w:rPr>
            </w:pPr>
            <w:r>
              <w:rPr>
                <w:rFonts w:ascii="仿宋" w:eastAsia="仿宋"/>
                <w:sz w:val="24"/>
                <w:szCs w:val="24"/>
              </w:rPr>
              <w:t>90%（含）以上计6分；</w:t>
            </w:r>
          </w:p>
          <w:p>
            <w:pPr>
              <w:widowControl/>
              <w:jc w:val="left"/>
              <w:rPr>
                <w:rFonts w:hint="eastAsia" w:ascii="仿宋" w:eastAsia="仿宋"/>
                <w:sz w:val="24"/>
                <w:szCs w:val="24"/>
                <w:lang w:eastAsia="zh-CN"/>
              </w:rPr>
            </w:pPr>
            <w:r>
              <w:rPr>
                <w:rFonts w:ascii="仿宋" w:eastAsia="仿宋"/>
                <w:sz w:val="24"/>
                <w:szCs w:val="24"/>
              </w:rPr>
              <w:t>80%（含）-90%，计4分；</w:t>
            </w:r>
          </w:p>
          <w:p>
            <w:pPr>
              <w:widowControl/>
              <w:jc w:val="left"/>
              <w:rPr>
                <w:rFonts w:hint="eastAsia" w:ascii="仿宋" w:eastAsia="仿宋"/>
                <w:sz w:val="24"/>
                <w:szCs w:val="24"/>
                <w:lang w:eastAsia="zh-CN"/>
              </w:rPr>
            </w:pPr>
            <w:r>
              <w:rPr>
                <w:rFonts w:ascii="仿宋" w:eastAsia="仿宋"/>
                <w:sz w:val="24"/>
                <w:szCs w:val="24"/>
              </w:rPr>
              <w:t>70%（含）-80%，计2分；</w:t>
            </w:r>
          </w:p>
          <w:p>
            <w:pPr>
              <w:widowControl/>
              <w:jc w:val="left"/>
              <w:rPr>
                <w:rFonts w:ascii="仿宋" w:eastAsia="仿宋"/>
                <w:sz w:val="24"/>
                <w:szCs w:val="24"/>
              </w:rPr>
            </w:pPr>
            <w:r>
              <w:rPr>
                <w:rFonts w:ascii="仿宋" w:eastAsia="仿宋"/>
                <w:sz w:val="24"/>
                <w:szCs w:val="24"/>
              </w:rPr>
              <w:t>低于70%计0分。</w:t>
            </w:r>
          </w:p>
        </w:tc>
        <w:tc>
          <w:tcPr>
            <w:tcW w:w="344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szCs w:val="24"/>
              </w:rPr>
            </w:pPr>
            <w:r>
              <w:rPr>
                <w:rFonts w:ascii="仿宋" w:eastAsia="仿宋"/>
                <w:sz w:val="24"/>
                <w:szCs w:val="24"/>
              </w:rPr>
              <w:t>社会公众或服务对象是指部门（单位）履行职责而影响到的部门、群体或个人，一般采取社会调查的方式。</w:t>
            </w:r>
          </w:p>
        </w:tc>
        <w:tc>
          <w:tcPr>
            <w:tcW w:w="629" w:type="dxa"/>
            <w:tcBorders>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szCs w:val="24"/>
                <w:lang w:val="en-US" w:eastAsia="zh-CN"/>
              </w:rPr>
            </w:pPr>
            <w:r>
              <w:rPr>
                <w:rFonts w:ascii="仿宋" w:eastAsia="仿宋"/>
                <w:sz w:val="24"/>
                <w:szCs w:val="24"/>
              </w:rPr>
              <w:t>　</w:t>
            </w:r>
            <w:r>
              <w:rPr>
                <w:rFonts w:hint="eastAsia" w:ascii="仿宋" w:eastAsia="仿宋"/>
                <w:sz w:val="24"/>
                <w:szCs w:val="24"/>
                <w:lang w:val="en-US" w:eastAsia="zh-CN"/>
              </w:rPr>
              <w:t>6</w:t>
            </w:r>
          </w:p>
        </w:tc>
      </w:tr>
    </w:tbl>
    <w:p>
      <w:pPr>
        <w:spacing w:line="560" w:lineRule="exact"/>
        <w:rPr>
          <w:rFonts w:ascii="黑体" w:eastAsia="黑体"/>
          <w:sz w:val="28"/>
          <w:szCs w:val="28"/>
        </w:rPr>
      </w:pPr>
      <w:r>
        <w:rPr>
          <w:rFonts w:ascii="仿宋" w:eastAsia="仿宋"/>
        </w:rPr>
        <w:br w:type="page"/>
      </w:r>
      <w:r>
        <w:rPr>
          <w:rFonts w:ascii="黑体" w:eastAsia="黑体"/>
          <w:sz w:val="32"/>
          <w:szCs w:val="32"/>
        </w:rPr>
        <w:t>附件</w:t>
      </w:r>
      <w:r>
        <w:rPr>
          <w:rFonts w:hint="eastAsia" w:ascii="黑体" w:eastAsia="黑体"/>
          <w:sz w:val="32"/>
          <w:szCs w:val="32"/>
        </w:rPr>
        <w:t>2</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部门整体支出绩效评价基础数据表</w:t>
      </w:r>
    </w:p>
    <w:p>
      <w:pPr>
        <w:widowControl/>
        <w:tabs>
          <w:tab w:val="left" w:pos="3611"/>
          <w:tab w:val="left" w:pos="4791"/>
          <w:tab w:val="left" w:pos="5951"/>
          <w:tab w:val="left" w:pos="7071"/>
          <w:tab w:val="left" w:pos="8191"/>
          <w:tab w:val="left" w:pos="9311"/>
        </w:tabs>
        <w:ind w:left="91"/>
        <w:jc w:val="left"/>
        <w:rPr>
          <w:rFonts w:ascii="仿宋" w:eastAsia="仿宋"/>
          <w:sz w:val="24"/>
        </w:rPr>
      </w:pPr>
      <w:r>
        <w:rPr>
          <w:rFonts w:ascii="仿宋" w:eastAsia="仿宋"/>
          <w:sz w:val="24"/>
        </w:rPr>
        <w:t>填报单位：</w:t>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r>
        <w:rPr>
          <w:rFonts w:ascii="仿宋" w:eastAsia="仿宋"/>
          <w:sz w:val="24"/>
        </w:rPr>
        <w:tab/>
      </w:r>
    </w:p>
    <w:tbl>
      <w:tblPr>
        <w:tblStyle w:val="4"/>
        <w:tblW w:w="103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3550"/>
        <w:gridCol w:w="1190"/>
        <w:gridCol w:w="1170"/>
        <w:gridCol w:w="1130"/>
        <w:gridCol w:w="1465"/>
        <w:gridCol w:w="970"/>
        <w:gridCol w:w="8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417" w:hRule="atLeast"/>
          <w:jc w:val="center"/>
        </w:trPr>
        <w:tc>
          <w:tcPr>
            <w:tcW w:w="3550" w:type="dxa"/>
            <w:vMerge w:val="restart"/>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财政供养人员情况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编制数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w:t>
            </w:r>
            <w:r>
              <w:rPr>
                <w:rFonts w:hint="eastAsia" w:ascii="仿宋" w:eastAsia="仿宋"/>
                <w:b/>
                <w:bCs/>
                <w:sz w:val="24"/>
                <w:lang w:val="en-US" w:eastAsia="zh-CN"/>
              </w:rPr>
              <w:t>3</w:t>
            </w:r>
            <w:r>
              <w:rPr>
                <w:rFonts w:ascii="仿宋" w:eastAsia="仿宋"/>
                <w:b/>
                <w:bCs/>
                <w:sz w:val="24"/>
              </w:rPr>
              <w:t>年实际在职人数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81</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77</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95.06%</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经费控制情况</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w:t>
            </w:r>
            <w:r>
              <w:rPr>
                <w:rFonts w:hint="eastAsia" w:ascii="仿宋" w:eastAsia="仿宋"/>
                <w:b/>
                <w:bCs/>
                <w:sz w:val="24"/>
                <w:lang w:val="en-US" w:eastAsia="zh-CN"/>
              </w:rPr>
              <w:t>2</w:t>
            </w:r>
            <w:r>
              <w:rPr>
                <w:rFonts w:ascii="仿宋" w:eastAsia="仿宋"/>
                <w:b/>
                <w:bCs/>
                <w:sz w:val="24"/>
              </w:rPr>
              <w:t>年决算数</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w:t>
            </w:r>
            <w:r>
              <w:rPr>
                <w:rFonts w:hint="eastAsia" w:ascii="仿宋" w:eastAsia="仿宋"/>
                <w:b/>
                <w:bCs/>
                <w:sz w:val="24"/>
                <w:lang w:val="en-US" w:eastAsia="zh-CN"/>
              </w:rPr>
              <w:t>3</w:t>
            </w:r>
            <w:r>
              <w:rPr>
                <w:rFonts w:ascii="仿宋" w:eastAsia="仿宋"/>
                <w:b/>
                <w:bCs/>
                <w:sz w:val="24"/>
              </w:rPr>
              <w:t>年预算数</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202</w:t>
            </w:r>
            <w:r>
              <w:rPr>
                <w:rFonts w:hint="eastAsia" w:ascii="仿宋" w:eastAsia="仿宋"/>
                <w:b/>
                <w:bCs/>
                <w:sz w:val="24"/>
                <w:lang w:val="en-US" w:eastAsia="zh-CN"/>
              </w:rPr>
              <w:t>3</w:t>
            </w:r>
            <w:r>
              <w:rPr>
                <w:rFonts w:ascii="仿宋" w:eastAsia="仿宋"/>
                <w:b/>
                <w:bCs/>
                <w:sz w:val="24"/>
              </w:rPr>
              <w:t>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三公经费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3.9995</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4</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3.93</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1、公务用车购置和维护经费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其中：公车购置</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公车运行维护</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0</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2、出国经费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3、公务接待</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3.9995</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val="en-US" w:eastAsia="zh-CN"/>
              </w:rPr>
            </w:pPr>
            <w:r>
              <w:rPr>
                <w:rFonts w:hint="eastAsia" w:ascii="仿宋" w:eastAsia="仿宋"/>
                <w:sz w:val="24"/>
                <w:lang w:val="en-US" w:eastAsia="zh-CN"/>
              </w:rPr>
              <w:t>4</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3.93</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项目支出：</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104.51</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1800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959.36</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1、业务工作专项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104.51</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2、运行维护专项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hint="eastAsia" w:ascii="仿宋" w:eastAsia="仿宋"/>
                <w:sz w:val="24"/>
                <w:lang w:val="en-US" w:eastAsia="zh-CN"/>
              </w:rPr>
            </w:pPr>
            <w:r>
              <w:rPr>
                <w:rFonts w:ascii="仿宋" w:eastAsia="仿宋"/>
                <w:sz w:val="24"/>
              </w:rPr>
              <w:t xml:space="preserve">    </w:t>
            </w:r>
            <w:r>
              <w:rPr>
                <w:rFonts w:hint="eastAsia" w:ascii="仿宋" w:eastAsia="仿宋"/>
                <w:sz w:val="24"/>
                <w:lang w:val="en-US" w:eastAsia="zh-CN"/>
              </w:rPr>
              <w:t>3、本级专项资金</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1800</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959.36</w:t>
            </w:r>
            <w:bookmarkStart w:id="0" w:name="_GoBack"/>
            <w:bookmarkEnd w:id="0"/>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公用经费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62.8</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61</w:t>
            </w: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103.88</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9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其中：办公经费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color w:val="FF0000"/>
                <w:kern w:val="2"/>
                <w:sz w:val="24"/>
                <w:szCs w:val="24"/>
                <w:lang w:val="en-US" w:eastAsia="zh-CN" w:bidi="ar-SA"/>
              </w:rPr>
            </w:pPr>
            <w:r>
              <w:rPr>
                <w:rFonts w:hint="eastAsia" w:ascii="仿宋" w:eastAsia="仿宋"/>
                <w:color w:val="FF0000"/>
                <w:sz w:val="24"/>
                <w:lang w:val="en-US" w:eastAsia="zh-CN"/>
              </w:rPr>
              <w:t>35.88</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20</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43.43</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4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水费、电费、差旅费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color w:val="FF0000"/>
                <w:kern w:val="2"/>
                <w:sz w:val="24"/>
                <w:szCs w:val="24"/>
                <w:lang w:val="en-US" w:eastAsia="zh-CN" w:bidi="ar-SA"/>
              </w:rPr>
            </w:pPr>
            <w:r>
              <w:rPr>
                <w:rFonts w:hint="eastAsia" w:ascii="仿宋" w:eastAsia="仿宋"/>
                <w:color w:val="FF0000"/>
                <w:sz w:val="24"/>
                <w:lang w:val="en-US" w:eastAsia="zh-CN"/>
              </w:rPr>
              <w:t>25.2</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38</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56.48</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          会议费、培训费</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color w:val="FF0000"/>
                <w:kern w:val="2"/>
                <w:sz w:val="24"/>
                <w:szCs w:val="24"/>
                <w:lang w:val="en-US" w:eastAsia="zh-CN" w:bidi="ar-SA"/>
              </w:rPr>
            </w:pPr>
            <w:r>
              <w:rPr>
                <w:rFonts w:hint="eastAsia" w:ascii="仿宋" w:eastAsia="仿宋"/>
                <w:color w:val="FF0000"/>
                <w:sz w:val="24"/>
                <w:lang w:val="en-US" w:eastAsia="zh-CN"/>
              </w:rPr>
              <w:t>1.72</w:t>
            </w:r>
            <w:r>
              <w:rPr>
                <w:rFonts w:ascii="仿宋" w:eastAsia="仿宋"/>
                <w:color w:val="FF0000"/>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w:t>
            </w:r>
            <w:r>
              <w:rPr>
                <w:rFonts w:ascii="仿宋" w:eastAsia="仿宋"/>
                <w:color w:val="FF0000"/>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color w:val="FF0000"/>
                <w:sz w:val="24"/>
              </w:rPr>
            </w:pPr>
            <w:r>
              <w:rPr>
                <w:rFonts w:hint="eastAsia" w:ascii="仿宋" w:eastAsia="仿宋"/>
                <w:color w:val="FF0000"/>
                <w:sz w:val="24"/>
                <w:lang w:val="en-US" w:eastAsia="zh-CN"/>
              </w:rPr>
              <w:t>3.97</w:t>
            </w:r>
            <w:r>
              <w:rPr>
                <w:rFonts w:ascii="仿宋" w:eastAsia="仿宋"/>
                <w:color w:val="FF000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政府采购金额</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xml:space="preserve">部门整体支出预算调整 </w:t>
            </w:r>
          </w:p>
        </w:tc>
        <w:tc>
          <w:tcPr>
            <w:tcW w:w="2360"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hAnsi="Times New Roman" w:eastAsia="仿宋" w:cs="Times New Roman"/>
                <w:kern w:val="2"/>
                <w:sz w:val="24"/>
                <w:szCs w:val="24"/>
                <w:lang w:val="en-US" w:eastAsia="zh-CN" w:bidi="ar-SA"/>
              </w:rPr>
            </w:pPr>
            <w:r>
              <w:rPr>
                <w:rFonts w:hint="eastAsia" w:ascii="仿宋" w:eastAsia="仿宋"/>
                <w:sz w:val="24"/>
                <w:lang w:val="en-US" w:eastAsia="zh-CN"/>
              </w:rPr>
              <w:t>25580.22</w:t>
            </w:r>
            <w:r>
              <w:rPr>
                <w:rFonts w:ascii="仿宋" w:eastAsia="仿宋"/>
                <w:sz w:val="24"/>
              </w:rPr>
              <w:t>　</w:t>
            </w:r>
          </w:p>
        </w:tc>
        <w:tc>
          <w:tcPr>
            <w:tcW w:w="2595"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5882</w:t>
            </w:r>
            <w:r>
              <w:rPr>
                <w:rFonts w:hint="eastAsia" w:asciiTheme="minorEastAsia" w:hAnsiTheme="minorEastAsia" w:eastAsiaTheme="minorEastAsia" w:cstheme="minorEastAsia"/>
                <w:color w:val="auto"/>
                <w:sz w:val="32"/>
                <w:szCs w:val="32"/>
                <w:lang w:val="en-US" w:eastAsia="zh-CN"/>
              </w:rPr>
              <w:t>.</w:t>
            </w:r>
            <w:r>
              <w:rPr>
                <w:rFonts w:hint="eastAsia" w:ascii="仿宋" w:eastAsia="仿宋"/>
                <w:sz w:val="24"/>
                <w:lang w:val="en-US" w:eastAsia="zh-CN"/>
              </w:rPr>
              <w:t>41　</w:t>
            </w:r>
          </w:p>
        </w:tc>
        <w:tc>
          <w:tcPr>
            <w:tcW w:w="1834" w:type="dxa"/>
            <w:gridSpan w:val="2"/>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hint="eastAsia" w:ascii="仿宋" w:eastAsia="仿宋"/>
                <w:sz w:val="24"/>
                <w:lang w:val="en-US" w:eastAsia="zh-CN"/>
              </w:rPr>
              <w:t>13450.17</w:t>
            </w: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154" w:hRule="atLeast"/>
          <w:jc w:val="center"/>
        </w:trPr>
        <w:tc>
          <w:tcPr>
            <w:tcW w:w="3550" w:type="dxa"/>
            <w:vMerge w:val="restart"/>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hint="eastAsia" w:ascii="仿宋" w:eastAsia="仿宋"/>
                <w:sz w:val="24"/>
                <w:lang w:eastAsia="zh-CN"/>
              </w:rPr>
            </w:pPr>
            <w:r>
              <w:rPr>
                <w:rFonts w:ascii="仿宋" w:eastAsia="仿宋"/>
                <w:sz w:val="24"/>
              </w:rPr>
              <w:t>楼堂馆所控制情况</w:t>
            </w:r>
          </w:p>
          <w:p>
            <w:pPr>
              <w:widowControl/>
              <w:jc w:val="center"/>
              <w:rPr>
                <w:rFonts w:ascii="仿宋" w:eastAsia="仿宋"/>
                <w:sz w:val="24"/>
              </w:rPr>
            </w:pPr>
            <w:r>
              <w:rPr>
                <w:rFonts w:ascii="仿宋" w:eastAsia="仿宋"/>
                <w:sz w:val="24"/>
              </w:rPr>
              <w:t>（2023年完工项目）</w:t>
            </w: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hint="eastAsia" w:ascii="仿宋" w:eastAsia="仿宋"/>
                <w:b/>
                <w:bCs/>
                <w:sz w:val="24"/>
                <w:lang w:eastAsia="zh-CN"/>
              </w:rPr>
            </w:pPr>
            <w:r>
              <w:rPr>
                <w:rFonts w:ascii="仿宋" w:eastAsia="仿宋"/>
                <w:b/>
                <w:bCs/>
                <w:sz w:val="24"/>
              </w:rPr>
              <w:t>批复规模</w:t>
            </w:r>
          </w:p>
          <w:p>
            <w:pPr>
              <w:widowControl/>
              <w:jc w:val="center"/>
              <w:rPr>
                <w:rFonts w:ascii="仿宋" w:eastAsia="仿宋"/>
                <w:b/>
                <w:bCs/>
                <w:sz w:val="24"/>
              </w:rPr>
            </w:pPr>
            <w:r>
              <w:rPr>
                <w:rFonts w:ascii="仿宋" w:eastAsia="仿宋"/>
                <w:b/>
                <w:bCs/>
                <w:sz w:val="24"/>
              </w:rPr>
              <w:t>（㎡）</w:t>
            </w:r>
          </w:p>
        </w:tc>
        <w:tc>
          <w:tcPr>
            <w:tcW w:w="11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实际规模（㎡）</w:t>
            </w:r>
          </w:p>
        </w:tc>
        <w:tc>
          <w:tcPr>
            <w:tcW w:w="113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规模控制率</w:t>
            </w:r>
          </w:p>
        </w:tc>
        <w:tc>
          <w:tcPr>
            <w:tcW w:w="1465"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预算投资（万元）</w:t>
            </w:r>
          </w:p>
        </w:tc>
        <w:tc>
          <w:tcPr>
            <w:tcW w:w="97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实际投资（万元）</w:t>
            </w:r>
          </w:p>
        </w:tc>
        <w:tc>
          <w:tcPr>
            <w:tcW w:w="864"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b/>
                <w:bCs/>
                <w:sz w:val="24"/>
              </w:rPr>
            </w:pPr>
            <w:r>
              <w:rPr>
                <w:rFonts w:ascii="仿宋" w:eastAsia="仿宋"/>
                <w:b/>
                <w:bCs/>
                <w:sz w:val="24"/>
              </w:rPr>
              <w:t>投资概算控制率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77" w:hRule="atLeast"/>
          <w:jc w:val="center"/>
        </w:trPr>
        <w:tc>
          <w:tcPr>
            <w:tcW w:w="3550" w:type="dxa"/>
            <w:vMerge w:val="continue"/>
            <w:tcBorders>
              <w:left w:val="single" w:color="000000" w:sz="4" w:space="0"/>
              <w:bottom w:val="single" w:color="000000" w:sz="4" w:space="0"/>
              <w:right w:val="single" w:color="000000" w:sz="4" w:space="0"/>
            </w:tcBorders>
            <w:tcMar>
              <w:left w:w="108" w:type="dxa"/>
              <w:right w:w="108" w:type="dxa"/>
            </w:tcMar>
            <w:vAlign w:val="center"/>
          </w:tcPr>
          <w:p/>
        </w:tc>
        <w:tc>
          <w:tcPr>
            <w:tcW w:w="1190" w:type="dxa"/>
            <w:tcBorders>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c>
          <w:tcPr>
            <w:tcW w:w="11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13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1465"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970"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c>
          <w:tcPr>
            <w:tcW w:w="864" w:type="dxa"/>
            <w:tcBorders>
              <w:bottom w:val="single" w:color="000000" w:sz="4" w:space="0"/>
              <w:right w:val="single" w:color="000000" w:sz="4" w:space="0"/>
            </w:tcBorders>
            <w:tcMar>
              <w:left w:w="108" w:type="dxa"/>
              <w:right w:w="108" w:type="dxa"/>
            </w:tcMar>
            <w:vAlign w:val="center"/>
          </w:tcPr>
          <w:p>
            <w:pPr>
              <w:widowControl/>
              <w:jc w:val="left"/>
              <w:rPr>
                <w:rFonts w:ascii="仿宋" w:eastAsia="仿宋"/>
                <w:sz w:val="24"/>
              </w:rPr>
            </w:pPr>
            <w:r>
              <w:rPr>
                <w:rFonts w:ascii="仿宋" w:eastAsia="仿宋"/>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71" w:hRule="atLeast"/>
          <w:jc w:val="center"/>
        </w:trPr>
        <w:tc>
          <w:tcPr>
            <w:tcW w:w="3550" w:type="dxa"/>
            <w:tcBorders>
              <w:left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厉行节约保障措施</w:t>
            </w:r>
          </w:p>
        </w:tc>
        <w:tc>
          <w:tcPr>
            <w:tcW w:w="6789" w:type="dxa"/>
            <w:gridSpan w:val="6"/>
            <w:tcBorders>
              <w:top w:val="single" w:color="000000" w:sz="4" w:space="0"/>
              <w:bottom w:val="single" w:color="000000" w:sz="4" w:space="0"/>
              <w:right w:val="single" w:color="000000" w:sz="4" w:space="0"/>
            </w:tcBorders>
            <w:tcMar>
              <w:left w:w="108" w:type="dxa"/>
              <w:right w:w="108" w:type="dxa"/>
            </w:tcMar>
            <w:vAlign w:val="center"/>
          </w:tcPr>
          <w:p>
            <w:pPr>
              <w:widowControl/>
              <w:jc w:val="center"/>
              <w:rPr>
                <w:rFonts w:ascii="仿宋" w:eastAsia="仿宋"/>
                <w:sz w:val="24"/>
              </w:rPr>
            </w:pPr>
            <w:r>
              <w:rPr>
                <w:rFonts w:ascii="仿宋" w:eastAsia="仿宋"/>
                <w:sz w:val="24"/>
              </w:rPr>
              <w:t>　</w:t>
            </w:r>
          </w:p>
        </w:tc>
      </w:tr>
    </w:tbl>
    <w:p>
      <w:pPr>
        <w:widowControl/>
        <w:jc w:val="left"/>
        <w:rPr>
          <w:rFonts w:ascii="仿宋" w:eastAsia="仿宋"/>
          <w:sz w:val="16"/>
          <w:szCs w:val="16"/>
        </w:rPr>
      </w:pPr>
    </w:p>
    <w:p>
      <w:pPr>
        <w:widowControl/>
        <w:jc w:val="left"/>
        <w:rPr>
          <w:rFonts w:ascii="仿宋" w:eastAsia="仿宋"/>
          <w:sz w:val="28"/>
          <w:szCs w:val="28"/>
        </w:rPr>
      </w:pPr>
      <w:r>
        <w:rPr>
          <w:rFonts w:ascii="仿宋" w:eastAsia="仿宋"/>
          <w:sz w:val="28"/>
          <w:szCs w:val="28"/>
        </w:rPr>
        <w:t>说明：“项目支出”需要填报除专项资金和基本支出以外的所有项目情况，包括业务工作项目、运行维护项目等；“公用经费”填报基本支出中的一般商品和服务支出。</w:t>
      </w:r>
    </w:p>
    <w:p>
      <w:pPr>
        <w:widowControl/>
        <w:jc w:val="left"/>
        <w:rPr>
          <w:rFonts w:ascii="仿宋" w:eastAsia="仿宋"/>
          <w:sz w:val="28"/>
          <w:szCs w:val="28"/>
        </w:rPr>
      </w:pPr>
    </w:p>
    <w:p/>
    <w:sectPr>
      <w:headerReference r:id="rId3" w:type="default"/>
      <w:footerReference r:id="rId4" w:type="default"/>
      <w:pgSz w:w="11906" w:h="16838"/>
      <w:pgMar w:top="2098" w:right="1474" w:bottom="1984" w:left="1588" w:header="851" w:footer="907" w:gutter="0"/>
      <w:pgBorders w:offsetFrom="page">
        <w:top w:val="none" w:sz="0" w:space="0"/>
        <w:left w:val="none" w:sz="0" w:space="0"/>
        <w:bottom w:val="none" w:sz="0" w:space="0"/>
        <w:right w:val="none" w:sz="0" w:space="0"/>
      </w:pgBorders>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sdt>
                          <w:sdtPr>
                            <w:id w:val="-1"/>
                            <w:docPartObj>
                              <w:docPartGallery w:val="autotext"/>
                            </w:docPartObj>
                          </w:sdtPr>
                          <w:sdtEndPr>
                            <w:rPr>
                              <w:rFonts w:ascii="宋体" w:hAnsi="宋体"/>
                              <w:sz w:val="28"/>
                              <w:szCs w:val="28"/>
                            </w:rPr>
                          </w:sdtEndPr>
                          <w:sdtContent>
                            <w:p>
                              <w:pPr>
                                <w:pStyle w:val="2"/>
                                <w:jc w:val="right"/>
                                <w:rPr>
                                  <w:rFonts w:ascii="宋体" w:hAnsi="宋体"/>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sdtContent>
                        </w:sdt>
                        <w:p>
                          <w:pPr>
                            <w:rPr>
                              <w:rFonts w:ascii="宋体" w:hAnsi="宋体"/>
                              <w:sz w:val="28"/>
                              <w:szCs w:val="28"/>
                            </w:rPr>
                          </w:pPr>
                        </w:p>
                      </w:txbxContent>
                    </wps:txbx>
                    <wps:bodyPr rot="0" vert="horz"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J92v0wAAAAUBAAAPAAAA&#10;AAAAAAEAIAAAACIAAABkcnMvZG93bnJldi54bWxQSwECFAAUAAAACACHTuJAXinBnuEBAADEAwAA&#10;DgAAAAAAAAABACAAAAAiAQAAZHJzL2Uyb0RvYy54bWxQSwUGAAAAAAYABgBZAQAAdQUAAAAA&#10;">
              <v:fill on="f" focussize="0,0"/>
              <v:stroke on="f" weight="1pt"/>
              <v:imagedata o:title=""/>
              <o:lock v:ext="edit" aspectratio="f"/>
              <v:textbox inset="0mm,0mm,0mm,0mm" style="mso-fit-shape-to-text:t;">
                <w:txbxContent>
                  <w:sdt>
                    <w:sdtPr>
                      <w:id w:val="-1"/>
                      <w:docPartObj>
                        <w:docPartGallery w:val="autotext"/>
                      </w:docPartObj>
                    </w:sdtPr>
                    <w:sdtEndPr>
                      <w:rPr>
                        <w:rFonts w:ascii="宋体" w:hAnsi="宋体"/>
                        <w:sz w:val="28"/>
                        <w:szCs w:val="28"/>
                      </w:rPr>
                    </w:sdtEndPr>
                    <w:sdtContent>
                      <w:p>
                        <w:pPr>
                          <w:pStyle w:val="2"/>
                          <w:jc w:val="right"/>
                          <w:rPr>
                            <w:rFonts w:ascii="宋体" w:hAnsi="宋体"/>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sdtContent>
                  </w:sdt>
                  <w:p>
                    <w:pPr>
                      <w:rPr>
                        <w:rFonts w:ascii="宋体" w:hAnsi="宋体"/>
                        <w:sz w:val="28"/>
                        <w:szCs w:val="28"/>
                      </w:rPr>
                    </w:pPr>
                  </w:p>
                </w:txbxContent>
              </v:textbox>
            </v:shape>
          </w:pict>
        </mc:Fallback>
      </mc:AlternateContent>
    </w:r>
  </w:p>
  <w:p>
    <w:pPr>
      <w:pStyle w:val="2"/>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B63330"/>
    <w:multiLevelType w:val="singleLevel"/>
    <w:tmpl w:val="C8B63330"/>
    <w:lvl w:ilvl="0" w:tentative="0">
      <w:start w:val="5"/>
      <w:numFmt w:val="chineseCounting"/>
      <w:suff w:val="nothing"/>
      <w:lvlText w:val="%1、"/>
      <w:lvlJc w:val="left"/>
      <w:rPr>
        <w:rFonts w:hint="eastAsia"/>
      </w:rPr>
    </w:lvl>
  </w:abstractNum>
  <w:abstractNum w:abstractNumId="1">
    <w:nsid w:val="48300FF6"/>
    <w:multiLevelType w:val="singleLevel"/>
    <w:tmpl w:val="48300FF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NTZkMDMyMDUxZTM1ZGVmMWMyNWU0ZjdkN2FhYjIifQ=="/>
  </w:docVars>
  <w:rsids>
    <w:rsidRoot w:val="00000000"/>
    <w:rsid w:val="010E4C3A"/>
    <w:rsid w:val="09EB3F77"/>
    <w:rsid w:val="0D812BEE"/>
    <w:rsid w:val="0DB65627"/>
    <w:rsid w:val="109A307A"/>
    <w:rsid w:val="11C30BB8"/>
    <w:rsid w:val="1BFD43F3"/>
    <w:rsid w:val="1CA33C09"/>
    <w:rsid w:val="20202828"/>
    <w:rsid w:val="203537DE"/>
    <w:rsid w:val="228C338C"/>
    <w:rsid w:val="27EC6AF9"/>
    <w:rsid w:val="2A1F0FC6"/>
    <w:rsid w:val="2BAA7930"/>
    <w:rsid w:val="2D1103FC"/>
    <w:rsid w:val="3262645C"/>
    <w:rsid w:val="36E861AB"/>
    <w:rsid w:val="3B5C399C"/>
    <w:rsid w:val="40D934A0"/>
    <w:rsid w:val="4D09448D"/>
    <w:rsid w:val="4F5B706D"/>
    <w:rsid w:val="500E7127"/>
    <w:rsid w:val="524C15DE"/>
    <w:rsid w:val="52BE5380"/>
    <w:rsid w:val="5CE54CA7"/>
    <w:rsid w:val="5D26725D"/>
    <w:rsid w:val="5F713617"/>
    <w:rsid w:val="60C93F57"/>
    <w:rsid w:val="614F1FBE"/>
    <w:rsid w:val="653143B5"/>
    <w:rsid w:val="693B0100"/>
    <w:rsid w:val="6E855595"/>
    <w:rsid w:val="78005B90"/>
    <w:rsid w:val="7A777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7"/>
      </w:tabs>
      <w:snapToGrid w:val="0"/>
      <w:jc w:val="left"/>
    </w:pPr>
    <w:rPr>
      <w:sz w:val="18"/>
    </w:rPr>
  </w:style>
  <w:style w:type="paragraph" w:styleId="3">
    <w:name w:val="header"/>
    <w:basedOn w:val="1"/>
    <w:qFormat/>
    <w:uiPriority w:val="0"/>
    <w:pPr>
      <w:pBdr>
        <w:bottom w:val="single" w:color="auto" w:sz="6" w:space="1"/>
      </w:pBdr>
      <w:tabs>
        <w:tab w:val="center" w:pos="4153"/>
        <w:tab w:val="right" w:pos="8307"/>
      </w:tabs>
      <w:snapToGrid w:val="0"/>
      <w:jc w:val="center"/>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4135</Words>
  <Characters>4510</Characters>
  <Lines>0</Lines>
  <Paragraphs>0</Paragraphs>
  <TotalTime>32</TotalTime>
  <ScaleCrop>false</ScaleCrop>
  <LinksUpToDate>false</LinksUpToDate>
  <CharactersWithSpaces>4950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2024-09-14T03:09:00Z</cp:lastPrinted>
  <dcterms:modified xsi:type="dcterms:W3CDTF">2024-09-19T02:44:08Z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F2C8DBD2F6404CE4928E075D09EF6A29_12</vt:lpwstr>
  </property>
</Properties>
</file>